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
          <w:sz w:val="28"/>
          <w:szCs w:val="28"/>
        </w:rPr>
      </w:pPr>
      <w:r>
        <w:rPr>
          <w:rFonts w:eastAsia="黑体"/>
          <w:b/>
          <w:sz w:val="28"/>
          <w:szCs w:val="28"/>
        </w:rPr>
        <w:t>UDC</w:t>
      </w:r>
    </w:p>
    <w:p/>
    <w:p>
      <w:pPr>
        <w:jc w:val="center"/>
        <w:rPr>
          <w:rFonts w:eastAsia="黑体"/>
        </w:rPr>
      </w:pPr>
      <w:r>
        <w:drawing>
          <wp:anchor distT="0" distB="0" distL="114300" distR="114300" simplePos="0" relativeHeight="251661312" behindDoc="0" locked="1" layoutInCell="1" allowOverlap="1">
            <wp:simplePos x="0" y="0"/>
            <wp:positionH relativeFrom="margin">
              <wp:posOffset>4400550</wp:posOffset>
            </wp:positionH>
            <wp:positionV relativeFrom="margin">
              <wp:posOffset>396240</wp:posOffset>
            </wp:positionV>
            <wp:extent cx="1003300" cy="596265"/>
            <wp:effectExtent l="0" t="0" r="0" b="0"/>
            <wp:wrapNone/>
            <wp:docPr id="15" name="HBPicture" descr="GB"/>
            <wp:cNvGraphicFramePr/>
            <a:graphic xmlns:a="http://schemas.openxmlformats.org/drawingml/2006/main">
              <a:graphicData uri="http://schemas.openxmlformats.org/drawingml/2006/picture">
                <pic:pic xmlns:pic="http://schemas.openxmlformats.org/drawingml/2006/picture">
                  <pic:nvPicPr>
                    <pic:cNvPr id="15" name="HBPicture" descr="GB"/>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3300" cy="596265"/>
                    </a:xfrm>
                    <a:prstGeom prst="rect">
                      <a:avLst/>
                    </a:prstGeom>
                    <a:noFill/>
                    <a:ln>
                      <a:noFill/>
                    </a:ln>
                  </pic:spPr>
                </pic:pic>
              </a:graphicData>
            </a:graphic>
          </wp:anchor>
        </w:drawing>
      </w:r>
      <w:r>
        <w:rPr>
          <w:rFonts w:eastAsia="黑体"/>
          <w:sz w:val="32"/>
          <w:szCs w:val="32"/>
        </w:rPr>
        <w:t>中华人民共和国国家标准</w:t>
      </w:r>
    </w:p>
    <w:p>
      <w:pPr>
        <w:jc w:val="center"/>
      </w:pPr>
    </w:p>
    <w:p>
      <w:pPr>
        <w:jc w:val="right"/>
        <w:rPr>
          <w:sz w:val="28"/>
          <w:szCs w:val="28"/>
        </w:rPr>
      </w:pPr>
      <w:r>
        <w:rPr>
          <w:rFonts w:eastAsia="黑体"/>
          <w:sz w:val="32"/>
          <w:szCs w:val="32"/>
        </w:rPr>
        <w:t xml:space="preserve">P </w:t>
      </w:r>
      <w:r>
        <w:rPr>
          <w:sz w:val="28"/>
          <w:szCs w:val="28"/>
        </w:rPr>
        <w:t xml:space="preserve">                                                                                  </w:t>
      </w:r>
      <w:r>
        <w:rPr>
          <w:rFonts w:hint="eastAsia"/>
          <w:sz w:val="28"/>
          <w:szCs w:val="28"/>
        </w:rPr>
        <w:t>P</w:t>
      </w:r>
      <w:r>
        <w:rPr>
          <w:sz w:val="28"/>
          <w:szCs w:val="28"/>
        </w:rPr>
        <w:t xml:space="preserve">                                          </w:t>
      </w:r>
      <w:r>
        <w:rPr>
          <w:rFonts w:eastAsia="黑体"/>
          <w:spacing w:val="11"/>
          <w:w w:val="100"/>
          <w:kern w:val="0"/>
          <w:sz w:val="28"/>
          <w:szCs w:val="28"/>
          <w:fitText w:val="2240" w:id="-2126486272"/>
        </w:rPr>
        <w:t>GB 50177 - 20X</w:t>
      </w:r>
      <w:r>
        <w:rPr>
          <w:rFonts w:eastAsia="黑体"/>
          <w:spacing w:val="9"/>
          <w:w w:val="100"/>
          <w:kern w:val="0"/>
          <w:sz w:val="28"/>
          <w:szCs w:val="28"/>
          <w:fitText w:val="2240" w:id="-2126486272"/>
        </w:rPr>
        <w:t>X</w:t>
      </w:r>
    </w:p>
    <w:p>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147955</wp:posOffset>
                </wp:positionV>
                <wp:extent cx="5667375" cy="0"/>
                <wp:effectExtent l="0" t="19050" r="9525"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28575">
                          <a:solidFill>
                            <a:srgbClr val="000000"/>
                          </a:solidFill>
                          <a:round/>
                        </a:ln>
                      </wps:spPr>
                      <wps:bodyPr/>
                    </wps:wsp>
                  </a:graphicData>
                </a:graphic>
              </wp:anchor>
            </w:drawing>
          </mc:Choice>
          <mc:Fallback>
            <w:pict>
              <v:line id="_x0000_s1026" o:spid="_x0000_s1026" o:spt="20" style="position:absolute;left:0pt;margin-left:0pt;margin-top:11.65pt;height:0pt;width:446.25pt;z-index:251660288;mso-width-relative:page;mso-height-relative:page;" filled="f" stroked="t" coordsize="21600,21600" o:gfxdata="UEsDBAoAAAAAAIdO4kAAAAAAAAAAAAAAAAAEAAAAZHJzL1BLAwQUAAAACACHTuJAeQL+KdUAAAAG&#10;AQAADwAAAGRycy9kb3ducmV2LnhtbE2PQWvCQBCF7wX/wzKFXopujFTSNBuxQm9FqJbicZIdk9Ds&#10;bNhdjf77bumhHue9x3vfFKuL6cWZnO8sK5jPEhDEtdUdNwo+92/TDIQPyBp7y6TgSh5W5eSuwFzb&#10;kT/ovAuNiCXsc1TQhjDkUvq6JYN+Zgfi6B2tMxji6RqpHY6x3PQyTZKlNNhxXGhxoE1L9ffuZBTU&#10;uN1s8fglRwyH9etj9X51TabUw/08eQER6BL+w/CLH9GhjEyVPbH2olcQHwkK0sUCRHSz5/QJRPUn&#10;yLKQt/jlD1BLAwQUAAAACACHTuJA9iM88OIBAACrAwAADgAAAGRycy9lMm9Eb2MueG1srVOxjhMx&#10;EO2R+AfLPdkkKLnTKpsrEh3NAZHu+ICJ15u1sD2W7WSTn+AHkOigoqTnbzg+g7E3CRCaK9hi5PHM&#10;vJn3xju72RvNdtIHhbbio8GQM2kF1spuKv7u4fbFNWchgq1Bo5UVP8jAb+bPn806V8oxtqhr6RmB&#10;2FB2ruJtjK4siiBaaSAM0ElLwQa9gUiu3xS1h47QjS7Gw+G06NDXzqOQIdDtsg/yI6J/CiA2jRJy&#10;iWJrpI09qpcaIlEKrXKBz/O0TSNFfNs0QUamK05MY7bUhM7rZIv5DMqNB9cqcRwBnjLCBScDylLT&#10;M9QSIrCtV/9AGSU8BmziQKApeiJZEWIxGl5oc9+Ck5kLSR3cWfTw/2DFm93KM1VXfMyZBUMLf/z4&#10;7ceHzz+/fyL7+PULGyeROhdKyl3YlU80xd7euzsU7wOzuGjBbmQe9uHgCGGUKoq/SpITHLVad6+x&#10;phzYRsyK7RtvEiRpwfZ5MYfzYuQ+MkGXk+n06uXVhDNxihVQngqdD/GVRMPSoeJa2aQZlLC7CzEN&#10;AuUpJV1bvFVa571ryzoifj0h6BQKqFWdotnxm/VCe7aD9HTyl2ldpHnc2rrvou2RdSLaS7bG+rDy&#10;JzVoh3mc43tLj+RPP1f//sf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5Av4p1QAAAAYBAAAP&#10;AAAAAAAAAAEAIAAAACIAAABkcnMvZG93bnJldi54bWxQSwECFAAUAAAACACHTuJA9iM88OIBAACr&#10;AwAADgAAAAAAAAABACAAAAAkAQAAZHJzL2Uyb0RvYy54bWxQSwUGAAAAAAYABgBZAQAAeAUAAAAA&#10;">
                <v:fill on="f" focussize="0,0"/>
                <v:stroke weight="2.25pt" color="#000000" joinstyle="round"/>
                <v:imagedata o:title=""/>
                <o:lock v:ext="edit" aspectratio="f"/>
              </v:line>
            </w:pict>
          </mc:Fallback>
        </mc:AlternateContent>
      </w:r>
    </w:p>
    <w:p>
      <w:pPr>
        <w:autoSpaceDE w:val="0"/>
        <w:autoSpaceDN w:val="0"/>
        <w:adjustRightInd w:val="0"/>
        <w:jc w:val="left"/>
        <w:rPr>
          <w:kern w:val="0"/>
          <w:szCs w:val="21"/>
        </w:rPr>
      </w:pPr>
    </w:p>
    <w:p>
      <w:pPr>
        <w:autoSpaceDE w:val="0"/>
        <w:autoSpaceDN w:val="0"/>
        <w:adjustRightInd w:val="0"/>
        <w:jc w:val="left"/>
        <w:rPr>
          <w:kern w:val="0"/>
          <w:szCs w:val="21"/>
        </w:rPr>
      </w:pPr>
    </w:p>
    <w:p>
      <w:pPr>
        <w:autoSpaceDE w:val="0"/>
        <w:autoSpaceDN w:val="0"/>
        <w:adjustRightInd w:val="0"/>
        <w:jc w:val="left"/>
        <w:rPr>
          <w:kern w:val="0"/>
          <w:szCs w:val="21"/>
        </w:rPr>
      </w:pPr>
    </w:p>
    <w:p>
      <w:pPr>
        <w:jc w:val="center"/>
        <w:rPr>
          <w:rFonts w:eastAsia="黑体"/>
          <w:sz w:val="44"/>
          <w:szCs w:val="44"/>
        </w:rPr>
      </w:pPr>
      <w:r>
        <w:rPr>
          <w:rFonts w:eastAsia="黑体"/>
          <w:sz w:val="44"/>
          <w:szCs w:val="44"/>
        </w:rPr>
        <w:t>氢气站设计</w:t>
      </w:r>
      <w:bookmarkStart w:id="30" w:name="_GoBack"/>
      <w:bookmarkEnd w:id="30"/>
      <w:r>
        <w:rPr>
          <w:rFonts w:eastAsia="黑体"/>
          <w:sz w:val="44"/>
          <w:szCs w:val="44"/>
        </w:rPr>
        <w:t>标准</w:t>
      </w:r>
    </w:p>
    <w:p>
      <w:pPr>
        <w:jc w:val="center"/>
        <w:rPr>
          <w:rFonts w:eastAsia="黑体"/>
          <w:sz w:val="28"/>
          <w:szCs w:val="28"/>
        </w:rPr>
      </w:pPr>
      <w:r>
        <w:rPr>
          <w:rFonts w:eastAsia="黑体"/>
          <w:sz w:val="28"/>
          <w:szCs w:val="28"/>
        </w:rPr>
        <w:t>Design standard for hydrogen station</w:t>
      </w:r>
    </w:p>
    <w:p>
      <w:pPr>
        <w:jc w:val="center"/>
        <w:rPr>
          <w:sz w:val="32"/>
          <w:szCs w:val="32"/>
        </w:rPr>
      </w:pPr>
    </w:p>
    <w:p>
      <w:pPr>
        <w:jc w:val="center"/>
        <w:rPr>
          <w:sz w:val="32"/>
          <w:szCs w:val="32"/>
        </w:rPr>
      </w:pPr>
    </w:p>
    <w:p>
      <w:pPr>
        <w:jc w:val="center"/>
        <w:rPr>
          <w:sz w:val="32"/>
          <w:szCs w:val="32"/>
        </w:rPr>
      </w:pPr>
    </w:p>
    <w:p>
      <w:pPr>
        <w:jc w:val="center"/>
        <w:rPr>
          <w:sz w:val="32"/>
          <w:szCs w:val="32"/>
        </w:rPr>
      </w:pPr>
      <w:r>
        <w:rPr>
          <w:rFonts w:hint="eastAsia"/>
          <w:sz w:val="32"/>
          <w:szCs w:val="32"/>
        </w:rPr>
        <w:t>征求意见稿</w:t>
      </w:r>
    </w:p>
    <w:p/>
    <w:p/>
    <w:p/>
    <w:p/>
    <w:p/>
    <w:p/>
    <w:p/>
    <w:p/>
    <w:p/>
    <w:p/>
    <w:p/>
    <w:p/>
    <w:p/>
    <w:p/>
    <w:p/>
    <w:p/>
    <w:p/>
    <w:p/>
    <w:p/>
    <w:p/>
    <w:p/>
    <w:p/>
    <w:p/>
    <w:p/>
    <w:p/>
    <w:p>
      <w:pPr>
        <w:jc w:val="distribute"/>
        <w:rPr>
          <w:b/>
          <w:sz w:val="28"/>
          <w:szCs w:val="28"/>
        </w:rPr>
      </w:pPr>
      <w:r>
        <w:rPr>
          <w:b/>
          <w:sz w:val="28"/>
          <w:szCs w:val="28"/>
        </w:rPr>
        <w:t>XXXX-XX-XX发布</w:t>
      </w:r>
      <w:r>
        <w:t xml:space="preserve">                                </w:t>
      </w:r>
      <w:r>
        <w:rPr>
          <w:b/>
          <w:sz w:val="28"/>
          <w:szCs w:val="28"/>
        </w:rPr>
        <w:t>XXXX-XX-XX 实施</w:t>
      </w:r>
    </w:p>
    <w:p>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98425</wp:posOffset>
                </wp:positionV>
                <wp:extent cx="5667375" cy="0"/>
                <wp:effectExtent l="0" t="19050" r="9525"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28575">
                          <a:solidFill>
                            <a:srgbClr val="000000"/>
                          </a:solidFill>
                          <a:round/>
                        </a:ln>
                      </wps:spPr>
                      <wps:bodyPr/>
                    </wps:wsp>
                  </a:graphicData>
                </a:graphic>
              </wp:anchor>
            </w:drawing>
          </mc:Choice>
          <mc:Fallback>
            <w:pict>
              <v:line id="_x0000_s1026" o:spid="_x0000_s1026" o:spt="20" style="position:absolute;left:0pt;margin-left:0pt;margin-top:7.75pt;height:0pt;width:446.25pt;z-index:251662336;mso-width-relative:page;mso-height-relative:page;" filled="f" stroked="t" coordsize="21600,21600" o:gfxdata="UEsDBAoAAAAAAIdO4kAAAAAAAAAAAAAAAAAEAAAAZHJzL1BLAwQUAAAACACHTuJAB5/1e9MAAAAG&#10;AQAADwAAAGRycy9kb3ducmV2LnhtbE2PQUvDQBCF74L/YRnBi7SbFippzKZowZsUrCIeJ9lpEszO&#10;ht1t0/57Rzzobea94c33ys3ZDepEIfaeDSzmGSjixtueWwPvb8+zHFRMyBYHz2TgQhE21fVViYX1&#10;E7/SaZ9aJSEcCzTQpTQWWsemI4dx7kdi8Q4+OEyyhlbbgJOEu0Evs+xeO+xZPnQ40raj5mt/dAYa&#10;3G13ePjQE6bPx6e7+uUS2tyY25tF9gAq0Tn9HcMPvqBDJUy1P7KNajAgRZKoqxUocfP1Uob6V9BV&#10;qf/jV99QSwMEFAAAAAgAh07iQAst5TnjAQAAqwMAAA4AAABkcnMvZTJvRG9jLnhtbK1TS44TMRDd&#10;I3EHy3vS+SiZUSudWSQaNgNEmuEAFbc7bWG7LNtJJ5fgAkjsYMWSPbeZ4RiUnQ8QNrOgFyWXq+pV&#10;vVfu6c3OaLaVPii0FR/0+pxJK7BWdl3x9w+3r645CxFsDRqtrPheBn4ze/li2rlSDrFFXUvPCMSG&#10;snMVb2N0ZVEE0UoDoYdOWgo26A1Ecv26qD10hG50Mez3J0WHvnYehQyBbheHID8i+ucAYtMoIRco&#10;NkbaeED1UkMkSqFVLvBZnrZppIjvmibIyHTFiWnMlprQeZVsMZtCufbgWiWOI8BzRrjgZEBZanqG&#10;WkAEtvHqHyijhMeATewJNMWBSFaEWAz6F9rct+Bk5kJSB3cWPfw/WPF2u/RM1RUfcWbB0MKfPn1/&#10;/Pjl54/PZJ++fWWjJFLnQkm5c7v0iabY2Xt3h+JDYBbnLdi1zMM+7B0hDFJF8VdJcoKjVqvuDdaU&#10;A5uIWbFd402CJC3YLi9mf16M3EUm6HI8mVyNrsaciVOsgPJU6HyIryUalg4V18omzaCE7V2IaRAo&#10;Tynp2uKt0jrvXVvWVXx4PSboFAqoVZ2i2fHr1Vx7toX0dPKXaV2kedzY+tBF2yPrRPQg2Qrr/dKf&#10;1KAd5nGO7y09kj/9XP37H5v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ef9XvTAAAABgEAAA8A&#10;AAAAAAAAAQAgAAAAIgAAAGRycy9kb3ducmV2LnhtbFBLAQIUABQAAAAIAIdO4kALLeU54wEAAKsD&#10;AAAOAAAAAAAAAAEAIAAAACIBAABkcnMvZTJvRG9jLnhtbFBLBQYAAAAABgAGAFkBAAB3BQAAAAA=&#10;">
                <v:fill on="f" focussize="0,0"/>
                <v:stroke weight="2.25pt" color="#000000" joinstyle="round"/>
                <v:imagedata o:title=""/>
                <o:lock v:ext="edit" aspectratio="f"/>
              </v:line>
            </w:pict>
          </mc:Fallback>
        </mc:AlternateContent>
      </w:r>
    </w:p>
    <w:p/>
    <w:p/>
    <w:p>
      <w:pPr>
        <w:ind w:right="2753" w:rightChars="1311"/>
        <w:jc w:val="distribute"/>
        <w:rPr>
          <w:b/>
          <w:sz w:val="32"/>
          <w:szCs w:val="32"/>
        </w:rPr>
      </w:pPr>
      <w:r>
        <mc:AlternateContent>
          <mc:Choice Requires="wps">
            <w:drawing>
              <wp:anchor distT="0" distB="0" distL="114300" distR="114300" simplePos="0" relativeHeight="251663360" behindDoc="0" locked="0" layoutInCell="1" allowOverlap="1">
                <wp:simplePos x="0" y="0"/>
                <wp:positionH relativeFrom="column">
                  <wp:posOffset>4067175</wp:posOffset>
                </wp:positionH>
                <wp:positionV relativeFrom="paragraph">
                  <wp:posOffset>74930</wp:posOffset>
                </wp:positionV>
                <wp:extent cx="1133475" cy="3302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33475" cy="330200"/>
                        </a:xfrm>
                        <a:prstGeom prst="rect">
                          <a:avLst/>
                        </a:prstGeom>
                        <a:noFill/>
                        <a:ln>
                          <a:noFill/>
                        </a:ln>
                      </wps:spPr>
                      <wps:txbx>
                        <w:txbxContent>
                          <w:p>
                            <w:r>
                              <w:rPr>
                                <w:rFonts w:hint="eastAsia"/>
                                <w:b/>
                                <w:sz w:val="32"/>
                                <w:szCs w:val="32"/>
                              </w:rPr>
                              <w:t>联合发布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0.25pt;margin-top:5.9pt;height:26pt;width:89.25pt;z-index:251663360;mso-width-relative:page;mso-height-relative:page;" filled="f" stroked="f" coordsize="21600,21600" o:gfxdata="UEsDBAoAAAAAAIdO4kAAAAAAAAAAAAAAAAAEAAAAZHJzL1BLAwQUAAAACACHTuJACs0h0NUAAAAJ&#10;AQAADwAAAGRycy9kb3ducmV2LnhtbE2PwU7DMBBE70j8g7VI3Og60FZpiNMDiCuIFpC4ufE2iYjX&#10;Uew24e9ZTnBcvafZmXI7+16daYxdYAPZQoMiroPruDHwtn+6yUHFZNnZPjAZ+KYI2+ryorSFCxO/&#10;0nmXGiUhHAtroE1pKBBj3ZK3cREGYmHHMHqb5BwbdKOdJNz3eKv1Gr3tWD60dqCHluqv3ckbeH8+&#10;fn4s9Uvz6FfDFGaN7DdozPVVpu9BJZrTnwy/9aU6VNLpEE7souoNrJd6JaqATCaIkGcbGXcQcpcD&#10;ViX+X1D9AFBLAwQUAAAACACHTuJABfaHuhYCAAAVBAAADgAAAGRycy9lMm9Eb2MueG1srVNLjhMx&#10;EN0jcQfLe9L59DDQSmc0TDQIafhIAwdw3O60Rdtlyk66wwGYG7Biw55z5RyU3ZkQhs0s2Fi2q/zq&#10;vVfl+UVvWrZV6DXYkk9GY86UlVBpuy75p4/Xz15w5oOwlWjBqpLvlOcXi6dP5p0r1BQaaCuFjECs&#10;LzpX8iYEV2SZl40ywo/AKUvBGtCIQEdcZxWKjtBNm03H4+dZB1g5BKm8p9vlEOQHRHwMINS1lmoJ&#10;cmOUDQMqqlYEkuQb7TxfJLZ1rWR4X9deBdaWnJSGtFIR2q/imi3molijcI2WBwriMRQeaDJCWyp6&#10;hFqKINgG9T9QRksED3UYSTDZICQ5Qiom4wfe3DbCqaSFrPbuaLr/f7Dy3fYDMl2VPOfMCkMN33+/&#10;2//4tf/5jeXRns75grJuHeWF/hX0NDRJqnc3ID97ZuGqEXatLhGha5SoiN4kvsxOng44PoKsurdQ&#10;UR2xCZCA+hpN9I7cYIROrdkdW6P6wGQsOZnN8vMzziTFZrMxTVIqIYr71w59eK3AsLgpOVLrE7rY&#10;3vgQ2YjiPiUWs3Ct2za1v7V/XVBivEnsI+GBeuhX/cGNFVQ70oEwTBP9Jdo0gF8562iSSu6/bAQq&#10;zto3lrx4OcnzOHrpkJ+dT+mAp5HVaURYSVAlD5wN26swjOvGoV43VGlw38Il+VfrJC0aPbA68KZp&#10;SYoPkx3H8fScsv785s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0h0NUAAAAJAQAADwAAAAAA&#10;AAABACAAAAAiAAAAZHJzL2Rvd25yZXYueG1sUEsBAhQAFAAAAAgAh07iQAX2h7oWAgAAFQQAAA4A&#10;AAAAAAAAAQAgAAAAJAEAAGRycy9lMm9Eb2MueG1sUEsFBgAAAAAGAAYAWQEAAKwFAAAAAA==&#10;">
                <v:fill on="f" focussize="0,0"/>
                <v:stroke on="f"/>
                <v:imagedata o:title=""/>
                <o:lock v:ext="edit" aspectratio="f"/>
                <v:textbox>
                  <w:txbxContent>
                    <w:p>
                      <w:r>
                        <w:rPr>
                          <w:rFonts w:hint="eastAsia"/>
                          <w:b/>
                          <w:sz w:val="32"/>
                          <w:szCs w:val="32"/>
                        </w:rPr>
                        <w:t>联合发布</w:t>
                      </w:r>
                    </w:p>
                  </w:txbxContent>
                </v:textbox>
              </v:shape>
            </w:pict>
          </mc:Fallback>
        </mc:AlternateContent>
      </w:r>
      <w:r>
        <w:rPr>
          <w:b/>
          <w:sz w:val="32"/>
          <w:szCs w:val="32"/>
        </w:rPr>
        <w:t>中华人民共和国住房和城乡建设部</w:t>
      </w:r>
    </w:p>
    <w:p>
      <w:pPr>
        <w:widowControl/>
        <w:spacing w:line="360" w:lineRule="auto"/>
        <w:jc w:val="left"/>
        <w:rPr>
          <w:kern w:val="0"/>
          <w:sz w:val="24"/>
        </w:rPr>
      </w:pPr>
      <w:r>
        <w:rPr>
          <w:b/>
          <w:sz w:val="32"/>
          <w:szCs w:val="32"/>
        </w:rPr>
        <w:t>中华人民共和国国家质量监督检验检疫总局</w:t>
      </w:r>
      <w:r>
        <w:rPr>
          <w:kern w:val="0"/>
          <w:sz w:val="24"/>
        </w:rPr>
        <w:br w:type="page"/>
      </w:r>
    </w:p>
    <w:p>
      <w:pPr>
        <w:autoSpaceDE w:val="0"/>
        <w:autoSpaceDN w:val="0"/>
        <w:adjustRightInd w:val="0"/>
        <w:jc w:val="center"/>
        <w:rPr>
          <w:rFonts w:eastAsia="黑体"/>
          <w:kern w:val="0"/>
          <w:sz w:val="28"/>
          <w:szCs w:val="28"/>
        </w:rPr>
      </w:pPr>
      <w:r>
        <w:rPr>
          <w:rFonts w:eastAsia="黑体"/>
          <w:kern w:val="0"/>
          <w:sz w:val="28"/>
          <w:szCs w:val="28"/>
        </w:rPr>
        <w:t>中华人民共和国国家标准</w:t>
      </w:r>
    </w:p>
    <w:p>
      <w:pPr>
        <w:jc w:val="center"/>
      </w:pPr>
    </w:p>
    <w:p>
      <w:pPr>
        <w:jc w:val="center"/>
      </w:pPr>
    </w:p>
    <w:p>
      <w:pPr>
        <w:jc w:val="center"/>
      </w:pPr>
    </w:p>
    <w:p>
      <w:pPr>
        <w:jc w:val="center"/>
      </w:pPr>
    </w:p>
    <w:p>
      <w:pPr>
        <w:jc w:val="center"/>
        <w:rPr>
          <w:rFonts w:eastAsia="黑体"/>
          <w:sz w:val="32"/>
          <w:szCs w:val="32"/>
        </w:rPr>
      </w:pPr>
      <w:r>
        <w:rPr>
          <w:rFonts w:eastAsia="黑体"/>
          <w:sz w:val="32"/>
          <w:szCs w:val="32"/>
        </w:rPr>
        <w:t>氢气站设计标准</w:t>
      </w:r>
    </w:p>
    <w:p>
      <w:pPr>
        <w:jc w:val="center"/>
      </w:pPr>
    </w:p>
    <w:p>
      <w:pPr>
        <w:jc w:val="center"/>
        <w:rPr>
          <w:rFonts w:eastAsia="黑体"/>
          <w:sz w:val="28"/>
          <w:szCs w:val="28"/>
        </w:rPr>
      </w:pPr>
      <w:r>
        <w:rPr>
          <w:rFonts w:eastAsia="黑体"/>
          <w:sz w:val="28"/>
          <w:szCs w:val="28"/>
        </w:rPr>
        <w:t>Design standard for hydrogen station</w:t>
      </w:r>
    </w:p>
    <w:p>
      <w:pPr>
        <w:jc w:val="center"/>
        <w:rPr>
          <w:rFonts w:eastAsia="黑体"/>
          <w:sz w:val="28"/>
          <w:szCs w:val="28"/>
        </w:rPr>
      </w:pPr>
    </w:p>
    <w:p>
      <w:pPr>
        <w:jc w:val="center"/>
        <w:rPr>
          <w:rFonts w:eastAsia="黑体"/>
          <w:szCs w:val="21"/>
        </w:rPr>
      </w:pPr>
      <w:r>
        <w:rPr>
          <w:rFonts w:eastAsia="黑体"/>
          <w:szCs w:val="21"/>
        </w:rPr>
        <w:t>GB 50177 – 20XX</w:t>
      </w:r>
    </w:p>
    <w:p>
      <w:pPr>
        <w:autoSpaceDE w:val="0"/>
        <w:autoSpaceDN w:val="0"/>
        <w:adjustRightInd w:val="0"/>
        <w:jc w:val="center"/>
        <w:rPr>
          <w:kern w:val="0"/>
          <w:szCs w:val="21"/>
        </w:rPr>
      </w:pPr>
    </w:p>
    <w:p>
      <w:pPr>
        <w:autoSpaceDE w:val="0"/>
        <w:autoSpaceDN w:val="0"/>
        <w:adjustRightInd w:val="0"/>
        <w:jc w:val="center"/>
        <w:rPr>
          <w:kern w:val="0"/>
          <w:szCs w:val="21"/>
        </w:rPr>
      </w:pPr>
    </w:p>
    <w:p>
      <w:pPr>
        <w:ind w:firstLine="2100" w:firstLineChars="1000"/>
      </w:pPr>
      <w:r>
        <w:t>主编部门：中华人民共和国工业和信息化部</w:t>
      </w:r>
    </w:p>
    <w:p>
      <w:pPr>
        <w:ind w:firstLine="2100" w:firstLineChars="1000"/>
      </w:pPr>
      <w:r>
        <w:t>批准部门：中华人民共和国住房和城乡建设部</w:t>
      </w:r>
    </w:p>
    <w:p>
      <w:pPr>
        <w:ind w:firstLine="2100" w:firstLineChars="1000"/>
      </w:pPr>
      <w:r>
        <w:t>施行日期：20XX年XX月XX 日</w:t>
      </w:r>
    </w:p>
    <w:p/>
    <w:p/>
    <w:p/>
    <w:p/>
    <w:p/>
    <w:p/>
    <w:p/>
    <w:p/>
    <w:p/>
    <w:p/>
    <w:p/>
    <w:p/>
    <w:p/>
    <w:p/>
    <w:p/>
    <w:p/>
    <w:p/>
    <w:p>
      <w:pPr>
        <w:jc w:val="center"/>
        <w:rPr>
          <w:rFonts w:eastAsia="仿宋_GB2312"/>
          <w:sz w:val="32"/>
          <w:szCs w:val="32"/>
        </w:rPr>
      </w:pPr>
      <w:r>
        <w:rPr>
          <w:rFonts w:eastAsia="仿宋_GB2312"/>
          <w:sz w:val="32"/>
          <w:szCs w:val="32"/>
        </w:rPr>
        <w:t>中国计划出版社</w:t>
      </w:r>
    </w:p>
    <w:p>
      <w:pPr>
        <w:jc w:val="center"/>
      </w:pPr>
    </w:p>
    <w:p>
      <w:pPr>
        <w:widowControl/>
        <w:spacing w:line="360" w:lineRule="auto"/>
        <w:jc w:val="center"/>
        <w:rPr>
          <w:kern w:val="0"/>
          <w:sz w:val="24"/>
        </w:rPr>
      </w:pPr>
      <w:r>
        <w:rPr>
          <w:rFonts w:eastAsia="黑体"/>
        </w:rPr>
        <w:t>XXXX  北    京</w:t>
      </w:r>
      <w:r>
        <w:rPr>
          <w:kern w:val="0"/>
          <w:sz w:val="24"/>
        </w:rPr>
        <w:br w:type="page"/>
      </w:r>
    </w:p>
    <w:p>
      <w:pPr>
        <w:autoSpaceDE w:val="0"/>
        <w:autoSpaceDN w:val="0"/>
        <w:adjustRightInd w:val="0"/>
        <w:spacing w:line="360" w:lineRule="auto"/>
        <w:jc w:val="center"/>
        <w:rPr>
          <w:rFonts w:eastAsia="黑体"/>
          <w:kern w:val="0"/>
          <w:sz w:val="28"/>
          <w:szCs w:val="28"/>
        </w:rPr>
      </w:pPr>
      <w:r>
        <w:rPr>
          <w:rFonts w:eastAsia="黑体"/>
          <w:kern w:val="0"/>
          <w:sz w:val="28"/>
          <w:szCs w:val="28"/>
        </w:rPr>
        <w:t>中华人民共和国住房和城乡建设部公告</w:t>
      </w:r>
    </w:p>
    <w:p>
      <w:pPr>
        <w:autoSpaceDE w:val="0"/>
        <w:autoSpaceDN w:val="0"/>
        <w:adjustRightInd w:val="0"/>
        <w:spacing w:line="360" w:lineRule="auto"/>
        <w:jc w:val="center"/>
        <w:rPr>
          <w:rFonts w:eastAsia="黑体"/>
          <w:kern w:val="0"/>
          <w:sz w:val="28"/>
          <w:szCs w:val="28"/>
        </w:rPr>
      </w:pPr>
      <w:r>
        <w:rPr>
          <w:rFonts w:hint="eastAsia" w:eastAsia="黑体"/>
          <w:kern w:val="0"/>
          <w:sz w:val="28"/>
          <w:szCs w:val="28"/>
        </w:rPr>
        <w:t>2</w:t>
      </w:r>
      <w:r>
        <w:rPr>
          <w:rFonts w:eastAsia="黑体"/>
          <w:kern w:val="0"/>
          <w:sz w:val="28"/>
          <w:szCs w:val="28"/>
        </w:rPr>
        <w:t>022年第XXX号</w:t>
      </w:r>
    </w:p>
    <w:p>
      <w:pPr>
        <w:autoSpaceDE w:val="0"/>
        <w:autoSpaceDN w:val="0"/>
        <w:adjustRightInd w:val="0"/>
        <w:spacing w:line="360" w:lineRule="auto"/>
        <w:jc w:val="center"/>
        <w:rPr>
          <w:kern w:val="0"/>
          <w:sz w:val="28"/>
          <w:szCs w:val="28"/>
        </w:rPr>
      </w:pPr>
    </w:p>
    <w:p>
      <w:pPr>
        <w:autoSpaceDE w:val="0"/>
        <w:autoSpaceDN w:val="0"/>
        <w:adjustRightInd w:val="0"/>
        <w:spacing w:line="360" w:lineRule="auto"/>
        <w:jc w:val="center"/>
        <w:rPr>
          <w:kern w:val="0"/>
          <w:sz w:val="28"/>
          <w:szCs w:val="28"/>
        </w:rPr>
      </w:pPr>
      <w:r>
        <w:rPr>
          <w:kern w:val="0"/>
          <w:sz w:val="28"/>
          <w:szCs w:val="28"/>
        </w:rPr>
        <w:t>住房和城乡建设部关于发布国家标准</w:t>
      </w:r>
    </w:p>
    <w:p>
      <w:pPr>
        <w:autoSpaceDE w:val="0"/>
        <w:autoSpaceDN w:val="0"/>
        <w:adjustRightInd w:val="0"/>
        <w:spacing w:line="360" w:lineRule="auto"/>
        <w:jc w:val="center"/>
        <w:rPr>
          <w:kern w:val="0"/>
          <w:sz w:val="28"/>
          <w:szCs w:val="28"/>
        </w:rPr>
      </w:pPr>
      <w:r>
        <w:rPr>
          <w:kern w:val="0"/>
          <w:sz w:val="28"/>
          <w:szCs w:val="28"/>
        </w:rPr>
        <w:t>《氢气站设计标准》的公告</w:t>
      </w:r>
    </w:p>
    <w:p>
      <w:pPr>
        <w:autoSpaceDE w:val="0"/>
        <w:autoSpaceDN w:val="0"/>
        <w:adjustRightInd w:val="0"/>
        <w:spacing w:line="360" w:lineRule="auto"/>
        <w:jc w:val="center"/>
        <w:rPr>
          <w:kern w:val="0"/>
          <w:sz w:val="28"/>
          <w:szCs w:val="28"/>
        </w:rPr>
      </w:pPr>
    </w:p>
    <w:p>
      <w:pPr>
        <w:autoSpaceDE w:val="0"/>
        <w:autoSpaceDN w:val="0"/>
        <w:adjustRightInd w:val="0"/>
        <w:spacing w:line="360" w:lineRule="auto"/>
        <w:ind w:firstLine="480" w:firstLineChars="200"/>
        <w:jc w:val="left"/>
        <w:rPr>
          <w:kern w:val="0"/>
          <w:sz w:val="24"/>
          <w:szCs w:val="28"/>
        </w:rPr>
      </w:pPr>
      <w:r>
        <w:rPr>
          <w:kern w:val="0"/>
          <w:sz w:val="24"/>
          <w:szCs w:val="28"/>
        </w:rPr>
        <w:t>现批准《氢气站设计标准》为国家标准，编号为GB 50177 – 202X，自202X年XX月XX日起实施。其中，第X.X.X、X.X.X、X.X.X、X.X.X、X.X.X、X.X.X、X.X.X、X.X.X条</w:t>
      </w:r>
      <w:r>
        <w:rPr>
          <w:rFonts w:hint="eastAsia"/>
          <w:kern w:val="0"/>
          <w:sz w:val="24"/>
          <w:szCs w:val="28"/>
        </w:rPr>
        <w:t>（款）</w:t>
      </w:r>
      <w:r>
        <w:rPr>
          <w:kern w:val="0"/>
          <w:sz w:val="24"/>
          <w:szCs w:val="28"/>
        </w:rPr>
        <w:t>为强制性条文，必须严格执行。原国家标准《氢气站设计规范》</w:t>
      </w:r>
      <w:r>
        <w:rPr>
          <w:rFonts w:hint="eastAsia"/>
          <w:kern w:val="0"/>
          <w:sz w:val="24"/>
          <w:szCs w:val="28"/>
        </w:rPr>
        <w:t>（</w:t>
      </w:r>
      <w:r>
        <w:rPr>
          <w:kern w:val="0"/>
          <w:sz w:val="24"/>
          <w:szCs w:val="28"/>
        </w:rPr>
        <w:t>GB 50177-2005</w:t>
      </w:r>
      <w:r>
        <w:rPr>
          <w:rFonts w:hint="eastAsia"/>
          <w:kern w:val="0"/>
          <w:sz w:val="24"/>
          <w:szCs w:val="28"/>
        </w:rPr>
        <w:t>）</w:t>
      </w:r>
      <w:r>
        <w:rPr>
          <w:kern w:val="0"/>
          <w:sz w:val="24"/>
          <w:szCs w:val="28"/>
        </w:rPr>
        <w:t>同时废止。</w:t>
      </w:r>
    </w:p>
    <w:p>
      <w:pPr>
        <w:autoSpaceDE w:val="0"/>
        <w:autoSpaceDN w:val="0"/>
        <w:adjustRightInd w:val="0"/>
        <w:spacing w:line="360" w:lineRule="auto"/>
        <w:ind w:firstLine="480" w:firstLineChars="200"/>
        <w:jc w:val="left"/>
        <w:rPr>
          <w:kern w:val="0"/>
          <w:sz w:val="24"/>
          <w:szCs w:val="28"/>
        </w:rPr>
      </w:pPr>
      <w:r>
        <w:rPr>
          <w:kern w:val="0"/>
          <w:sz w:val="24"/>
          <w:szCs w:val="28"/>
        </w:rPr>
        <w:t>本标准在住房和城乡建设部门户网站</w:t>
      </w:r>
      <w:r>
        <w:rPr>
          <w:rFonts w:hint="eastAsia"/>
          <w:kern w:val="0"/>
          <w:sz w:val="24"/>
          <w:szCs w:val="28"/>
        </w:rPr>
        <w:t>（www.</w:t>
      </w:r>
      <w:r>
        <w:rPr>
          <w:kern w:val="0"/>
          <w:sz w:val="24"/>
          <w:szCs w:val="28"/>
        </w:rPr>
        <w:t>mohurd.gov.cn</w:t>
      </w:r>
      <w:r>
        <w:rPr>
          <w:rFonts w:hint="eastAsia"/>
          <w:kern w:val="0"/>
          <w:sz w:val="24"/>
          <w:szCs w:val="28"/>
        </w:rPr>
        <w:t>）公开，并由住房和城乡建设部</w:t>
      </w:r>
      <w:r>
        <w:rPr>
          <w:kern w:val="0"/>
          <w:sz w:val="24"/>
          <w:szCs w:val="28"/>
        </w:rPr>
        <w:t>标准定额研究所组织中国计划出版社出版发行。</w:t>
      </w:r>
    </w:p>
    <w:p>
      <w:pPr>
        <w:autoSpaceDE w:val="0"/>
        <w:autoSpaceDN w:val="0"/>
        <w:adjustRightInd w:val="0"/>
        <w:spacing w:line="360" w:lineRule="auto"/>
        <w:jc w:val="left"/>
        <w:rPr>
          <w:kern w:val="0"/>
          <w:sz w:val="24"/>
          <w:szCs w:val="28"/>
        </w:rPr>
      </w:pPr>
    </w:p>
    <w:p>
      <w:pPr>
        <w:autoSpaceDE w:val="0"/>
        <w:autoSpaceDN w:val="0"/>
        <w:adjustRightInd w:val="0"/>
        <w:spacing w:line="360" w:lineRule="auto"/>
        <w:jc w:val="left"/>
        <w:rPr>
          <w:kern w:val="0"/>
          <w:sz w:val="24"/>
          <w:szCs w:val="28"/>
        </w:rPr>
      </w:pPr>
    </w:p>
    <w:p>
      <w:pPr>
        <w:autoSpaceDE w:val="0"/>
        <w:autoSpaceDN w:val="0"/>
        <w:adjustRightInd w:val="0"/>
        <w:spacing w:line="360" w:lineRule="auto"/>
        <w:jc w:val="right"/>
        <w:rPr>
          <w:rFonts w:eastAsia="黑体"/>
          <w:kern w:val="0"/>
          <w:sz w:val="24"/>
          <w:szCs w:val="28"/>
        </w:rPr>
      </w:pPr>
      <w:r>
        <w:rPr>
          <w:rFonts w:eastAsia="黑体"/>
          <w:kern w:val="0"/>
          <w:sz w:val="24"/>
          <w:szCs w:val="28"/>
        </w:rPr>
        <w:t>中华人民共和国住房和城乡建设部</w:t>
      </w:r>
    </w:p>
    <w:p>
      <w:pPr>
        <w:autoSpaceDE w:val="0"/>
        <w:autoSpaceDN w:val="0"/>
        <w:adjustRightInd w:val="0"/>
        <w:spacing w:line="360" w:lineRule="auto"/>
        <w:jc w:val="right"/>
        <w:rPr>
          <w:rFonts w:eastAsia="黑体"/>
          <w:kern w:val="0"/>
          <w:sz w:val="24"/>
          <w:szCs w:val="28"/>
        </w:rPr>
      </w:pPr>
      <w:r>
        <w:rPr>
          <w:rFonts w:hint="eastAsia" w:eastAsia="黑体"/>
          <w:kern w:val="0"/>
          <w:sz w:val="24"/>
          <w:szCs w:val="28"/>
        </w:rPr>
        <w:t>2</w:t>
      </w:r>
      <w:r>
        <w:rPr>
          <w:rFonts w:eastAsia="黑体"/>
          <w:kern w:val="0"/>
          <w:sz w:val="24"/>
          <w:szCs w:val="28"/>
        </w:rPr>
        <w:t>02X年XX月XX日</w:t>
      </w:r>
    </w:p>
    <w:p>
      <w:pPr>
        <w:widowControl/>
        <w:spacing w:line="360" w:lineRule="auto"/>
        <w:jc w:val="left"/>
        <w:rPr>
          <w:kern w:val="0"/>
          <w:sz w:val="28"/>
          <w:szCs w:val="28"/>
        </w:rPr>
      </w:pPr>
      <w:r>
        <w:rPr>
          <w:kern w:val="0"/>
          <w:sz w:val="24"/>
        </w:rPr>
        <w:br w:type="page"/>
      </w:r>
    </w:p>
    <w:p>
      <w:pPr>
        <w:autoSpaceDE w:val="0"/>
        <w:autoSpaceDN w:val="0"/>
        <w:adjustRightInd w:val="0"/>
        <w:jc w:val="center"/>
        <w:outlineLvl w:val="0"/>
        <w:rPr>
          <w:rFonts w:eastAsia="黑体"/>
          <w:b/>
          <w:kern w:val="0"/>
          <w:sz w:val="28"/>
          <w:szCs w:val="32"/>
        </w:rPr>
      </w:pPr>
      <w:bookmarkStart w:id="0" w:name="_Toc95814126"/>
      <w:bookmarkStart w:id="1" w:name="_Toc100666181"/>
      <w:bookmarkStart w:id="2" w:name="_Toc100666768"/>
      <w:bookmarkStart w:id="3" w:name="_Toc102660374"/>
      <w:bookmarkStart w:id="4" w:name="_Toc108940927"/>
      <w:r>
        <w:rPr>
          <w:rFonts w:eastAsia="黑体"/>
          <w:b/>
          <w:kern w:val="0"/>
          <w:sz w:val="28"/>
          <w:szCs w:val="32"/>
        </w:rPr>
        <w:t>前　　言</w:t>
      </w:r>
      <w:bookmarkEnd w:id="0"/>
      <w:bookmarkEnd w:id="1"/>
      <w:bookmarkEnd w:id="2"/>
      <w:bookmarkEnd w:id="3"/>
      <w:bookmarkEnd w:id="4"/>
    </w:p>
    <w:p>
      <w:pPr>
        <w:autoSpaceDE w:val="0"/>
        <w:autoSpaceDN w:val="0"/>
        <w:adjustRightInd w:val="0"/>
        <w:jc w:val="left"/>
        <w:rPr>
          <w:kern w:val="0"/>
          <w:sz w:val="28"/>
          <w:szCs w:val="28"/>
        </w:rPr>
      </w:pPr>
    </w:p>
    <w:p>
      <w:pPr>
        <w:autoSpaceDE w:val="0"/>
        <w:autoSpaceDN w:val="0"/>
        <w:adjustRightInd w:val="0"/>
        <w:spacing w:line="440" w:lineRule="exact"/>
        <w:ind w:firstLine="480" w:firstLineChars="200"/>
        <w:jc w:val="left"/>
        <w:rPr>
          <w:sz w:val="24"/>
          <w:szCs w:val="28"/>
        </w:rPr>
      </w:pPr>
      <w:r>
        <w:rPr>
          <w:rFonts w:hint="eastAsia"/>
          <w:sz w:val="24"/>
          <w:szCs w:val="28"/>
        </w:rPr>
        <w:t>本标准是根据《住房城乡建设部关于印发2016年工程建设标准规范制订、修订计划的通知》（建标函[2015]274号）要求，由中国电子工程设计院有限公司会同有关单位，共同在原《氢气站设计规范》GB50177-2005的基础上修订而成。</w:t>
      </w:r>
    </w:p>
    <w:p>
      <w:pPr>
        <w:autoSpaceDE w:val="0"/>
        <w:autoSpaceDN w:val="0"/>
        <w:adjustRightInd w:val="0"/>
        <w:spacing w:line="440" w:lineRule="exact"/>
        <w:ind w:firstLine="480" w:firstLineChars="200"/>
        <w:jc w:val="left"/>
        <w:rPr>
          <w:kern w:val="0"/>
          <w:sz w:val="24"/>
          <w:szCs w:val="28"/>
        </w:rPr>
      </w:pPr>
      <w:r>
        <w:rPr>
          <w:kern w:val="0"/>
          <w:sz w:val="24"/>
          <w:szCs w:val="28"/>
        </w:rPr>
        <w:t>在修订编制过程中，修订组结合我国氢气站、供氢站设计、建造和运行的实际情况，进行了大量的调查研究，并广泛向全国有关单位或个人征求意见，最后</w:t>
      </w:r>
      <w:r>
        <w:rPr>
          <w:rFonts w:hint="eastAsia"/>
          <w:kern w:val="0"/>
          <w:sz w:val="24"/>
          <w:szCs w:val="28"/>
        </w:rPr>
        <w:t>经</w:t>
      </w:r>
      <w:r>
        <w:rPr>
          <w:kern w:val="0"/>
          <w:sz w:val="24"/>
          <w:szCs w:val="28"/>
        </w:rPr>
        <w:t>审查定稿。</w:t>
      </w:r>
    </w:p>
    <w:p>
      <w:pPr>
        <w:autoSpaceDE w:val="0"/>
        <w:autoSpaceDN w:val="0"/>
        <w:adjustRightInd w:val="0"/>
        <w:spacing w:line="440" w:lineRule="exact"/>
        <w:ind w:firstLine="480" w:firstLineChars="200"/>
        <w:jc w:val="left"/>
        <w:rPr>
          <w:kern w:val="0"/>
          <w:sz w:val="24"/>
          <w:szCs w:val="28"/>
        </w:rPr>
      </w:pPr>
      <w:r>
        <w:rPr>
          <w:kern w:val="0"/>
          <w:sz w:val="24"/>
          <w:szCs w:val="28"/>
        </w:rPr>
        <w:t>本</w:t>
      </w:r>
      <w:r>
        <w:rPr>
          <w:rFonts w:hint="eastAsia"/>
          <w:kern w:val="0"/>
          <w:sz w:val="24"/>
          <w:szCs w:val="28"/>
        </w:rPr>
        <w:t>标准</w:t>
      </w:r>
      <w:r>
        <w:rPr>
          <w:kern w:val="0"/>
          <w:sz w:val="24"/>
          <w:szCs w:val="28"/>
        </w:rPr>
        <w:t>共12章和5个附录。其主要内容有：总则、术语、</w:t>
      </w:r>
      <w:r>
        <w:rPr>
          <w:rFonts w:hint="eastAsia"/>
          <w:kern w:val="0"/>
          <w:sz w:val="24"/>
          <w:szCs w:val="28"/>
        </w:rPr>
        <w:t>总图</w:t>
      </w:r>
      <w:r>
        <w:rPr>
          <w:kern w:val="0"/>
          <w:sz w:val="24"/>
          <w:szCs w:val="28"/>
        </w:rPr>
        <w:t>布置、工艺系统、设备选择、工艺布置、建筑结构、电气及仪表控制、防雷</w:t>
      </w:r>
      <w:r>
        <w:rPr>
          <w:rFonts w:hint="eastAsia"/>
          <w:kern w:val="0"/>
          <w:sz w:val="24"/>
          <w:szCs w:val="28"/>
        </w:rPr>
        <w:t>、防静电</w:t>
      </w:r>
      <w:r>
        <w:rPr>
          <w:kern w:val="0"/>
          <w:sz w:val="24"/>
          <w:szCs w:val="28"/>
        </w:rPr>
        <w:t>、给水排水及消防、采暖通风</w:t>
      </w:r>
      <w:r>
        <w:rPr>
          <w:rFonts w:hint="eastAsia"/>
          <w:kern w:val="0"/>
          <w:sz w:val="24"/>
          <w:szCs w:val="28"/>
        </w:rPr>
        <w:t>和</w:t>
      </w:r>
      <w:r>
        <w:rPr>
          <w:kern w:val="0"/>
          <w:sz w:val="24"/>
          <w:szCs w:val="28"/>
        </w:rPr>
        <w:t>氢管道等。</w:t>
      </w:r>
    </w:p>
    <w:p>
      <w:pPr>
        <w:autoSpaceDE w:val="0"/>
        <w:autoSpaceDN w:val="0"/>
        <w:adjustRightInd w:val="0"/>
        <w:spacing w:line="440" w:lineRule="exact"/>
        <w:ind w:firstLine="480" w:firstLineChars="200"/>
        <w:jc w:val="left"/>
        <w:rPr>
          <w:kern w:val="0"/>
          <w:sz w:val="24"/>
          <w:szCs w:val="28"/>
        </w:rPr>
      </w:pPr>
      <w:r>
        <w:rPr>
          <w:rFonts w:hint="eastAsia" w:ascii="宋体" w:hAnsi="宋体"/>
          <w:sz w:val="24"/>
          <w:szCs w:val="28"/>
          <w:lang w:val="en-GB"/>
        </w:rPr>
        <w:t>本标准修订的主要内容有：</w:t>
      </w:r>
      <w:r>
        <w:rPr>
          <w:rFonts w:ascii="宋体" w:hAnsi="宋体"/>
          <w:sz w:val="24"/>
          <w:szCs w:val="28"/>
        </w:rPr>
        <w:fldChar w:fldCharType="begin"/>
      </w:r>
      <w:r>
        <w:rPr>
          <w:rFonts w:ascii="宋体" w:hAnsi="宋体"/>
          <w:sz w:val="24"/>
          <w:szCs w:val="28"/>
        </w:rPr>
        <w:instrText xml:space="preserve"> </w:instrText>
      </w:r>
      <w:r>
        <w:rPr>
          <w:rFonts w:hint="eastAsia" w:ascii="宋体" w:hAnsi="宋体"/>
          <w:sz w:val="24"/>
          <w:szCs w:val="28"/>
        </w:rPr>
        <w:instrText xml:space="preserve">= 1 \* GB3</w:instrText>
      </w:r>
      <w:r>
        <w:rPr>
          <w:rFonts w:ascii="宋体" w:hAnsi="宋体"/>
          <w:sz w:val="24"/>
          <w:szCs w:val="28"/>
        </w:rPr>
        <w:instrText xml:space="preserve"> </w:instrText>
      </w:r>
      <w:r>
        <w:rPr>
          <w:rFonts w:ascii="宋体" w:hAnsi="宋体"/>
          <w:sz w:val="24"/>
          <w:szCs w:val="28"/>
        </w:rPr>
        <w:fldChar w:fldCharType="separate"/>
      </w:r>
      <w:r>
        <w:rPr>
          <w:rFonts w:hint="eastAsia" w:ascii="宋体" w:hAnsi="宋体"/>
          <w:sz w:val="24"/>
          <w:szCs w:val="28"/>
        </w:rPr>
        <w:t>①</w:t>
      </w:r>
      <w:r>
        <w:rPr>
          <w:rFonts w:ascii="宋体" w:hAnsi="宋体"/>
          <w:sz w:val="24"/>
          <w:szCs w:val="28"/>
        </w:rPr>
        <w:fldChar w:fldCharType="end"/>
      </w:r>
      <w:r>
        <w:rPr>
          <w:rFonts w:hint="eastAsia" w:ascii="宋体" w:hAnsi="宋体"/>
          <w:sz w:val="24"/>
          <w:szCs w:val="28"/>
        </w:rPr>
        <w:t>增加和更新了氢气站、供氢站相关术语和定义；②补充完善了不同氢源的氢气站、供氢站相关设计要求；③增加了液氢相关要求；④细化完善了总图布置、工艺系统、设备选择、工艺布置、建筑结构、电气及仪表控制、防雷、防静电、给水排水及消防、氢管道</w:t>
      </w:r>
      <w:r>
        <w:rPr>
          <w:rFonts w:ascii="宋体" w:hAnsi="宋体"/>
          <w:sz w:val="24"/>
          <w:szCs w:val="28"/>
        </w:rPr>
        <w:t>相关</w:t>
      </w:r>
      <w:r>
        <w:rPr>
          <w:rFonts w:hint="eastAsia" w:ascii="宋体" w:hAnsi="宋体"/>
          <w:sz w:val="24"/>
          <w:szCs w:val="28"/>
        </w:rPr>
        <w:t>要求；⑤增加了厂际氢气管道相关要求。</w:t>
      </w:r>
    </w:p>
    <w:p>
      <w:pPr>
        <w:autoSpaceDE w:val="0"/>
        <w:autoSpaceDN w:val="0"/>
        <w:adjustRightInd w:val="0"/>
        <w:spacing w:line="440" w:lineRule="exact"/>
        <w:ind w:firstLine="480" w:firstLineChars="200"/>
        <w:jc w:val="left"/>
        <w:rPr>
          <w:kern w:val="0"/>
          <w:sz w:val="24"/>
          <w:szCs w:val="28"/>
        </w:rPr>
      </w:pPr>
      <w:r>
        <w:rPr>
          <w:kern w:val="0"/>
          <w:sz w:val="24"/>
          <w:szCs w:val="28"/>
        </w:rPr>
        <w:t>本</w:t>
      </w:r>
      <w:r>
        <w:rPr>
          <w:rFonts w:hint="eastAsia"/>
          <w:kern w:val="0"/>
          <w:sz w:val="24"/>
          <w:szCs w:val="28"/>
        </w:rPr>
        <w:t>标准</w:t>
      </w:r>
      <w:r>
        <w:rPr>
          <w:kern w:val="0"/>
          <w:sz w:val="24"/>
          <w:szCs w:val="28"/>
        </w:rPr>
        <w:t>中以黑体字标志的条文为强制性条文，必须严格执行。</w:t>
      </w:r>
    </w:p>
    <w:p>
      <w:pPr>
        <w:autoSpaceDE w:val="0"/>
        <w:autoSpaceDN w:val="0"/>
        <w:adjustRightInd w:val="0"/>
        <w:spacing w:line="440" w:lineRule="exact"/>
        <w:ind w:firstLine="480" w:firstLineChars="200"/>
        <w:jc w:val="left"/>
        <w:rPr>
          <w:kern w:val="0"/>
          <w:sz w:val="24"/>
          <w:szCs w:val="28"/>
        </w:rPr>
      </w:pPr>
      <w:r>
        <w:rPr>
          <w:kern w:val="0"/>
          <w:sz w:val="24"/>
          <w:szCs w:val="28"/>
        </w:rPr>
        <w:t>本</w:t>
      </w:r>
      <w:r>
        <w:rPr>
          <w:rFonts w:hint="eastAsia"/>
          <w:kern w:val="0"/>
          <w:sz w:val="24"/>
          <w:szCs w:val="28"/>
        </w:rPr>
        <w:t>标准</w:t>
      </w:r>
      <w:r>
        <w:rPr>
          <w:kern w:val="0"/>
          <w:sz w:val="24"/>
          <w:szCs w:val="28"/>
        </w:rPr>
        <w:t>由住房和城乡建设部负责管理和对强制性条文的解释，</w:t>
      </w:r>
      <w:r>
        <w:rPr>
          <w:rFonts w:hint="eastAsia"/>
          <w:kern w:val="0"/>
          <w:sz w:val="24"/>
          <w:szCs w:val="28"/>
        </w:rPr>
        <w:t>由工业和信息化部负责日常管理，由</w:t>
      </w:r>
      <w:r>
        <w:rPr>
          <w:kern w:val="0"/>
          <w:sz w:val="24"/>
          <w:szCs w:val="28"/>
        </w:rPr>
        <w:t>中国电子工程设计院有限公司《氢气站设计标准》管理组负责具体技术内容的解释。执行过程中，请各单位结合工程实践，认真总结经验，如发现需要修改或补充之处，请将意见和建议寄至中国电子工程设计院有限公司《氢气站设计标准》管理组</w:t>
      </w:r>
      <w:r>
        <w:rPr>
          <w:rFonts w:hint="eastAsia"/>
          <w:kern w:val="0"/>
          <w:sz w:val="24"/>
          <w:szCs w:val="28"/>
        </w:rPr>
        <w:t>（</w:t>
      </w:r>
      <w:r>
        <w:rPr>
          <w:kern w:val="0"/>
          <w:sz w:val="24"/>
          <w:szCs w:val="28"/>
        </w:rPr>
        <w:t>地址：北京市海淀区西四环北路160号玲珑天地大厦，邮编：100142</w:t>
      </w:r>
      <w:r>
        <w:rPr>
          <w:rFonts w:hint="eastAsia"/>
          <w:kern w:val="0"/>
          <w:sz w:val="24"/>
          <w:szCs w:val="28"/>
        </w:rPr>
        <w:t>）</w:t>
      </w:r>
      <w:r>
        <w:rPr>
          <w:kern w:val="0"/>
          <w:sz w:val="24"/>
          <w:szCs w:val="28"/>
        </w:rPr>
        <w:t>，以供今后修订时参考。</w:t>
      </w:r>
    </w:p>
    <w:p>
      <w:pPr>
        <w:spacing w:line="460" w:lineRule="exact"/>
        <w:ind w:left="540"/>
        <w:rPr>
          <w:rFonts w:eastAsia="黑体"/>
          <w:spacing w:val="10"/>
          <w:sz w:val="24"/>
        </w:rPr>
      </w:pPr>
      <w:r>
        <w:rPr>
          <w:rFonts w:hint="eastAsia"/>
          <w:spacing w:val="10"/>
          <w:sz w:val="24"/>
        </w:rPr>
        <w:t>本标准主编单位、参编单位、主要起草人员和主要审查人员：</w:t>
      </w:r>
    </w:p>
    <w:p>
      <w:pPr>
        <w:spacing w:line="460" w:lineRule="exact"/>
        <w:ind w:left="540"/>
        <w:rPr>
          <w:rFonts w:ascii="仿宋_GB2312" w:hAnsi="Calibri"/>
          <w:bCs/>
          <w:sz w:val="24"/>
        </w:rPr>
      </w:pPr>
      <w:r>
        <w:rPr>
          <w:rFonts w:hint="eastAsia" w:eastAsia="黑体"/>
          <w:spacing w:val="10"/>
          <w:sz w:val="24"/>
        </w:rPr>
        <w:t>主 编 单 位：</w:t>
      </w:r>
      <w:r>
        <w:rPr>
          <w:rFonts w:hint="eastAsia" w:ascii="仿宋_GB2312" w:hAnsi="Calibri"/>
          <w:bCs/>
          <w:sz w:val="24"/>
        </w:rPr>
        <w:t>中国电子工程设计院有限公司</w:t>
      </w:r>
    </w:p>
    <w:p>
      <w:pPr>
        <w:spacing w:line="460" w:lineRule="exact"/>
        <w:ind w:left="540" w:right="-340" w:rightChars="-162"/>
        <w:rPr>
          <w:rFonts w:ascii="仿宋_GB2312" w:hAnsi="Calibri"/>
          <w:bCs/>
          <w:sz w:val="24"/>
        </w:rPr>
      </w:pPr>
      <w:r>
        <w:rPr>
          <w:rFonts w:hint="eastAsia" w:eastAsia="黑体"/>
          <w:spacing w:val="10"/>
          <w:sz w:val="24"/>
        </w:rPr>
        <w:t>参 编 单 位：</w:t>
      </w:r>
      <w:r>
        <w:rPr>
          <w:rFonts w:hint="eastAsia" w:ascii="仿宋_GB2312" w:hAnsi="Calibri"/>
          <w:bCs/>
          <w:sz w:val="24"/>
        </w:rPr>
        <w:t>工业和信息化部电子工业标准化研究院电子工程标准定额站</w:t>
      </w:r>
    </w:p>
    <w:p>
      <w:pPr>
        <w:spacing w:line="460" w:lineRule="exact"/>
        <w:ind w:left="540" w:firstLine="1728" w:firstLineChars="720"/>
        <w:rPr>
          <w:rFonts w:ascii="仿宋_GB2312" w:hAnsi="Calibri"/>
          <w:bCs/>
          <w:sz w:val="24"/>
        </w:rPr>
      </w:pPr>
      <w:r>
        <w:rPr>
          <w:rFonts w:hint="eastAsia" w:ascii="仿宋_GB2312" w:hAnsi="Calibri"/>
          <w:bCs/>
          <w:sz w:val="24"/>
        </w:rPr>
        <w:t>西南化工研究设计院有限公司</w:t>
      </w:r>
    </w:p>
    <w:p>
      <w:pPr>
        <w:spacing w:line="460" w:lineRule="exact"/>
        <w:ind w:left="540" w:firstLine="1728" w:firstLineChars="720"/>
        <w:rPr>
          <w:rFonts w:ascii="仿宋_GB2312" w:hAnsi="Calibri"/>
          <w:bCs/>
          <w:sz w:val="24"/>
        </w:rPr>
      </w:pPr>
      <w:r>
        <w:rPr>
          <w:rFonts w:hint="eastAsia" w:ascii="仿宋_GB2312" w:hAnsi="Calibri"/>
          <w:bCs/>
          <w:sz w:val="24"/>
        </w:rPr>
        <w:t>浙江大学</w:t>
      </w:r>
    </w:p>
    <w:p>
      <w:pPr>
        <w:spacing w:line="460" w:lineRule="exact"/>
        <w:ind w:left="540" w:firstLine="1728" w:firstLineChars="720"/>
        <w:rPr>
          <w:rFonts w:ascii="仿宋_GB2312" w:hAnsi="Calibri"/>
          <w:bCs/>
          <w:sz w:val="24"/>
        </w:rPr>
      </w:pPr>
      <w:r>
        <w:rPr>
          <w:rFonts w:hint="eastAsia" w:ascii="仿宋_GB2312" w:hAnsi="Calibri"/>
          <w:bCs/>
          <w:sz w:val="24"/>
        </w:rPr>
        <w:t>中冶南方工程技术有限公司</w:t>
      </w:r>
    </w:p>
    <w:p>
      <w:pPr>
        <w:spacing w:line="460" w:lineRule="exact"/>
        <w:ind w:left="540" w:firstLine="1728" w:firstLineChars="720"/>
        <w:rPr>
          <w:rFonts w:ascii="仿宋_GB2312" w:hAnsi="Calibri"/>
          <w:bCs/>
          <w:sz w:val="24"/>
        </w:rPr>
      </w:pPr>
      <w:r>
        <w:rPr>
          <w:rFonts w:hint="eastAsia" w:ascii="仿宋_GB2312" w:hAnsi="Calibri"/>
          <w:bCs/>
          <w:sz w:val="24"/>
        </w:rPr>
        <w:t>北京航天试验技术研究所</w:t>
      </w:r>
    </w:p>
    <w:p>
      <w:pPr>
        <w:spacing w:line="460" w:lineRule="exact"/>
        <w:ind w:left="540" w:firstLine="1728" w:firstLineChars="720"/>
        <w:rPr>
          <w:rFonts w:ascii="仿宋_GB2312" w:hAnsi="Calibri"/>
          <w:bCs/>
          <w:sz w:val="24"/>
        </w:rPr>
      </w:pPr>
      <w:r>
        <w:rPr>
          <w:rFonts w:hint="eastAsia" w:ascii="仿宋_GB2312" w:hAnsi="Calibri"/>
          <w:bCs/>
          <w:sz w:val="24"/>
        </w:rPr>
        <w:t>世源科技工程有限公司</w:t>
      </w:r>
    </w:p>
    <w:p>
      <w:pPr>
        <w:spacing w:line="460" w:lineRule="exact"/>
        <w:ind w:left="540" w:firstLine="1728" w:firstLineChars="720"/>
        <w:rPr>
          <w:rFonts w:ascii="仿宋_GB2312" w:hAnsi="Calibri"/>
          <w:bCs/>
          <w:sz w:val="24"/>
        </w:rPr>
      </w:pPr>
      <w:r>
        <w:rPr>
          <w:rFonts w:hint="eastAsia" w:ascii="仿宋_GB2312" w:hAnsi="Calibri"/>
          <w:bCs/>
          <w:sz w:val="24"/>
        </w:rPr>
        <w:t>中国电力工程顾问集团西南电力设计院有限公司</w:t>
      </w:r>
    </w:p>
    <w:p>
      <w:pPr>
        <w:spacing w:line="460" w:lineRule="exact"/>
        <w:ind w:left="540" w:firstLine="1728" w:firstLineChars="720"/>
        <w:rPr>
          <w:rFonts w:ascii="仿宋_GB2312" w:hAnsi="Calibri"/>
          <w:bCs/>
          <w:sz w:val="24"/>
        </w:rPr>
      </w:pPr>
      <w:r>
        <w:rPr>
          <w:rFonts w:hint="eastAsia" w:ascii="仿宋_GB2312" w:hAnsi="Calibri"/>
          <w:bCs/>
          <w:sz w:val="24"/>
        </w:rPr>
        <w:t>长沙有色冶金设计研究院有限公司</w:t>
      </w:r>
    </w:p>
    <w:p>
      <w:pPr>
        <w:spacing w:line="460" w:lineRule="exact"/>
        <w:ind w:left="540" w:firstLine="1728" w:firstLineChars="720"/>
        <w:rPr>
          <w:rFonts w:ascii="仿宋_GB2312" w:hAnsi="Calibri"/>
          <w:bCs/>
          <w:sz w:val="24"/>
        </w:rPr>
      </w:pPr>
      <w:r>
        <w:rPr>
          <w:rFonts w:hint="eastAsia" w:ascii="仿宋_GB2312" w:hAnsi="Calibri"/>
          <w:bCs/>
          <w:sz w:val="24"/>
        </w:rPr>
        <w:t>有研科技集团有限公司</w:t>
      </w:r>
    </w:p>
    <w:p>
      <w:pPr>
        <w:spacing w:line="460" w:lineRule="exact"/>
        <w:ind w:left="540" w:firstLine="1728" w:firstLineChars="720"/>
        <w:rPr>
          <w:rFonts w:ascii="仿宋_GB2312" w:hAnsi="Calibri"/>
          <w:bCs/>
          <w:sz w:val="24"/>
        </w:rPr>
      </w:pPr>
      <w:r>
        <w:rPr>
          <w:rFonts w:hint="eastAsia" w:ascii="仿宋_GB2312" w:hAnsi="Calibri"/>
          <w:bCs/>
          <w:sz w:val="24"/>
        </w:rPr>
        <w:t>国投电力控股股份有限公司等</w:t>
      </w:r>
    </w:p>
    <w:p>
      <w:pPr>
        <w:spacing w:line="460" w:lineRule="exact"/>
        <w:ind w:left="539"/>
        <w:rPr>
          <w:spacing w:val="10"/>
          <w:sz w:val="24"/>
        </w:rPr>
      </w:pPr>
      <w:r>
        <w:rPr>
          <w:rFonts w:hint="eastAsia" w:eastAsia="黑体"/>
          <w:spacing w:val="20"/>
          <w:sz w:val="24"/>
        </w:rPr>
        <w:t>主要起草人员：</w:t>
      </w:r>
      <w:r>
        <w:rPr>
          <w:rFonts w:hint="eastAsia"/>
          <w:spacing w:val="10"/>
          <w:sz w:val="24"/>
        </w:rPr>
        <w:t>（暂略）</w:t>
      </w:r>
    </w:p>
    <w:p>
      <w:pPr>
        <w:spacing w:line="460" w:lineRule="exact"/>
        <w:ind w:left="539"/>
        <w:rPr>
          <w:spacing w:val="10"/>
          <w:sz w:val="24"/>
        </w:rPr>
      </w:pPr>
      <w:r>
        <w:rPr>
          <w:rFonts w:hint="eastAsia" w:eastAsia="黑体"/>
          <w:spacing w:val="20"/>
          <w:sz w:val="24"/>
        </w:rPr>
        <w:t>主要审查人员：</w:t>
      </w:r>
      <w:r>
        <w:rPr>
          <w:rFonts w:hint="eastAsia"/>
          <w:spacing w:val="10"/>
          <w:sz w:val="24"/>
        </w:rPr>
        <w:t>（暂略）</w:t>
      </w:r>
    </w:p>
    <w:p>
      <w:pPr>
        <w:widowControl/>
        <w:jc w:val="left"/>
        <w:rPr>
          <w:kern w:val="0"/>
          <w:sz w:val="28"/>
          <w:szCs w:val="28"/>
        </w:rPr>
      </w:pPr>
      <w:r>
        <w:rPr>
          <w:kern w:val="0"/>
          <w:sz w:val="28"/>
          <w:szCs w:val="28"/>
        </w:rPr>
        <w:br w:type="page"/>
      </w:r>
    </w:p>
    <w:p>
      <w:pPr>
        <w:autoSpaceDE w:val="0"/>
        <w:autoSpaceDN w:val="0"/>
        <w:adjustRightInd w:val="0"/>
        <w:jc w:val="left"/>
        <w:rPr>
          <w:kern w:val="0"/>
          <w:sz w:val="28"/>
          <w:szCs w:val="28"/>
        </w:rPr>
      </w:pPr>
    </w:p>
    <w:p>
      <w:pPr>
        <w:pStyle w:val="34"/>
        <w:spacing w:line="360" w:lineRule="auto"/>
        <w:jc w:val="center"/>
        <w:rPr>
          <w:rFonts w:ascii="Times New Roman" w:hAnsi="Times New Roman"/>
          <w:b/>
          <w:color w:val="auto"/>
          <w:sz w:val="28"/>
        </w:rPr>
      </w:pPr>
      <w:r>
        <w:rPr>
          <w:rFonts w:ascii="Times New Roman" w:hAnsi="Times New Roman"/>
          <w:b/>
          <w:color w:val="auto"/>
          <w:sz w:val="28"/>
          <w:lang w:val="zh-CN"/>
        </w:rPr>
        <w:t>目  次</w:t>
      </w:r>
    </w:p>
    <w:p>
      <w:pPr>
        <w:pStyle w:val="13"/>
        <w:rPr>
          <w:rFonts w:eastAsiaTheme="minorEastAsia"/>
        </w:rPr>
      </w:pPr>
      <w:r>
        <w:rPr>
          <w:rFonts w:eastAsiaTheme="minorEastAsia"/>
        </w:rPr>
        <w:fldChar w:fldCharType="begin"/>
      </w:r>
      <w:r>
        <w:rPr>
          <w:rFonts w:eastAsiaTheme="minorEastAsia"/>
        </w:rPr>
        <w:instrText xml:space="preserve"> TOC \o "1-3" \h \z \u </w:instrText>
      </w:r>
      <w:r>
        <w:rPr>
          <w:rFonts w:eastAsiaTheme="minorEastAsia"/>
        </w:rPr>
        <w:fldChar w:fldCharType="separate"/>
      </w:r>
      <w:r>
        <w:fldChar w:fldCharType="begin"/>
      </w:r>
      <w:r>
        <w:instrText xml:space="preserve"> HYPERLINK \l "_Toc108940928" </w:instrText>
      </w:r>
      <w:r>
        <w:fldChar w:fldCharType="separate"/>
      </w:r>
      <w:r>
        <w:rPr>
          <w:rStyle w:val="22"/>
          <w:rFonts w:eastAsiaTheme="minorEastAsia"/>
          <w:color w:val="auto"/>
          <w:u w:val="none"/>
        </w:rPr>
        <w:t>1 总  则</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_Toc108940928 \h </w:instrText>
      </w:r>
      <w:r>
        <w:rPr>
          <w:rFonts w:eastAsiaTheme="minorEastAsia"/>
        </w:rPr>
        <w:fldChar w:fldCharType="separate"/>
      </w:r>
      <w:r>
        <w:rPr>
          <w:rFonts w:eastAsiaTheme="minorEastAsia"/>
        </w:rPr>
        <w:t>1</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"_Toc108940929" </w:instrText>
      </w:r>
      <w:r>
        <w:fldChar w:fldCharType="separate"/>
      </w:r>
      <w:r>
        <w:rPr>
          <w:rStyle w:val="22"/>
          <w:rFonts w:eastAsiaTheme="minorEastAsia"/>
          <w:color w:val="auto"/>
          <w:u w:val="none"/>
        </w:rPr>
        <w:t>2 术  语</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_Toc108940929 \h </w:instrText>
      </w:r>
      <w:r>
        <w:rPr>
          <w:rFonts w:eastAsiaTheme="minorEastAsia"/>
        </w:rPr>
        <w:fldChar w:fldCharType="separate"/>
      </w:r>
      <w:r>
        <w:rPr>
          <w:rFonts w:eastAsiaTheme="minorEastAsia"/>
        </w:rPr>
        <w:t>2</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"_Toc108940930" </w:instrText>
      </w:r>
      <w:r>
        <w:fldChar w:fldCharType="separate"/>
      </w:r>
      <w:r>
        <w:rPr>
          <w:rStyle w:val="22"/>
          <w:rFonts w:eastAsiaTheme="minorEastAsia"/>
          <w:color w:val="auto"/>
          <w:u w:val="none"/>
        </w:rPr>
        <w:t>3 总图布置</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_Toc108940930 \h </w:instrText>
      </w:r>
      <w:r>
        <w:rPr>
          <w:rFonts w:eastAsiaTheme="minorEastAsia"/>
        </w:rPr>
        <w:fldChar w:fldCharType="separate"/>
      </w:r>
      <w:r>
        <w:rPr>
          <w:rFonts w:eastAsiaTheme="minorEastAsia"/>
        </w:rPr>
        <w:t>6</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"_Toc108940931" </w:instrText>
      </w:r>
      <w:r>
        <w:fldChar w:fldCharType="separate"/>
      </w:r>
      <w:r>
        <w:rPr>
          <w:rStyle w:val="22"/>
          <w:rFonts w:eastAsiaTheme="minorEastAsia"/>
          <w:color w:val="auto"/>
          <w:u w:val="none"/>
        </w:rPr>
        <w:t>4 工艺系统</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_Toc108940931 \h </w:instrText>
      </w:r>
      <w:r>
        <w:rPr>
          <w:rFonts w:eastAsiaTheme="minorEastAsia"/>
        </w:rPr>
        <w:fldChar w:fldCharType="separate"/>
      </w:r>
      <w:r>
        <w:rPr>
          <w:rFonts w:eastAsiaTheme="minorEastAsia"/>
        </w:rPr>
        <w:t>10</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"_Toc108940932" </w:instrText>
      </w:r>
      <w:r>
        <w:fldChar w:fldCharType="separate"/>
      </w:r>
      <w:r>
        <w:rPr>
          <w:rStyle w:val="22"/>
          <w:rFonts w:eastAsiaTheme="minorEastAsia"/>
          <w:color w:val="auto"/>
          <w:u w:val="none"/>
        </w:rPr>
        <w:t>5 设备选择</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_Toc108940932 \h </w:instrText>
      </w:r>
      <w:r>
        <w:rPr>
          <w:rFonts w:eastAsiaTheme="minorEastAsia"/>
        </w:rPr>
        <w:fldChar w:fldCharType="separate"/>
      </w:r>
      <w:r>
        <w:rPr>
          <w:rFonts w:eastAsiaTheme="minorEastAsia"/>
        </w:rPr>
        <w:t>15</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"_Toc108940933" </w:instrText>
      </w:r>
      <w:r>
        <w:fldChar w:fldCharType="separate"/>
      </w:r>
      <w:r>
        <w:rPr>
          <w:rStyle w:val="22"/>
          <w:rFonts w:eastAsiaTheme="minorEastAsia"/>
          <w:color w:val="auto"/>
          <w:u w:val="none"/>
        </w:rPr>
        <w:t>6 工艺布置</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_Toc108940933 \h </w:instrText>
      </w:r>
      <w:r>
        <w:rPr>
          <w:rFonts w:eastAsiaTheme="minorEastAsia"/>
        </w:rPr>
        <w:fldChar w:fldCharType="separate"/>
      </w:r>
      <w:r>
        <w:rPr>
          <w:rFonts w:eastAsiaTheme="minorEastAsia"/>
        </w:rPr>
        <w:t>19</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"_Toc108940934" </w:instrText>
      </w:r>
      <w:r>
        <w:fldChar w:fldCharType="separate"/>
      </w:r>
      <w:r>
        <w:rPr>
          <w:rStyle w:val="22"/>
          <w:rFonts w:eastAsiaTheme="minorEastAsia"/>
          <w:color w:val="auto"/>
          <w:u w:val="none"/>
        </w:rPr>
        <w:t>7 建筑结构</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_Toc108940934 \h </w:instrText>
      </w:r>
      <w:r>
        <w:rPr>
          <w:rFonts w:eastAsiaTheme="minorEastAsia"/>
        </w:rPr>
        <w:fldChar w:fldCharType="separate"/>
      </w:r>
      <w:r>
        <w:rPr>
          <w:rFonts w:eastAsiaTheme="minorEastAsia"/>
        </w:rPr>
        <w:t>22</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"_Toc108940935" </w:instrText>
      </w:r>
      <w:r>
        <w:fldChar w:fldCharType="separate"/>
      </w:r>
      <w:r>
        <w:rPr>
          <w:rStyle w:val="22"/>
          <w:rFonts w:eastAsiaTheme="minorEastAsia"/>
          <w:color w:val="auto"/>
          <w:u w:val="none"/>
        </w:rPr>
        <w:t>8 电气及仪表控制</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_Toc108940935 \h </w:instrText>
      </w:r>
      <w:r>
        <w:rPr>
          <w:rFonts w:eastAsiaTheme="minorEastAsia"/>
        </w:rPr>
        <w:fldChar w:fldCharType="separate"/>
      </w:r>
      <w:r>
        <w:rPr>
          <w:rFonts w:eastAsiaTheme="minorEastAsia"/>
        </w:rPr>
        <w:t>24</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"_Toc108940936" </w:instrText>
      </w:r>
      <w:r>
        <w:fldChar w:fldCharType="separate"/>
      </w:r>
      <w:r>
        <w:rPr>
          <w:rStyle w:val="22"/>
          <w:rFonts w:eastAsiaTheme="minorEastAsia"/>
          <w:color w:val="auto"/>
          <w:u w:val="none"/>
        </w:rPr>
        <w:t>9 防雷、防静电</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_Toc108940936 \h </w:instrText>
      </w:r>
      <w:r>
        <w:rPr>
          <w:rFonts w:eastAsiaTheme="minorEastAsia"/>
        </w:rPr>
        <w:fldChar w:fldCharType="separate"/>
      </w:r>
      <w:r>
        <w:rPr>
          <w:rFonts w:eastAsiaTheme="minorEastAsia"/>
        </w:rPr>
        <w:t>27</w:t>
      </w:r>
      <w:r>
        <w:rPr>
          <w:rFonts w:eastAsiaTheme="minorEastAsia"/>
        </w:rPr>
        <w:fldChar w:fldCharType="end"/>
      </w:r>
      <w:r>
        <w:rPr>
          <w:rFonts w:eastAsiaTheme="minorEastAsia"/>
        </w:rPr>
        <w:fldChar w:fldCharType="end"/>
      </w:r>
    </w:p>
    <w:p>
      <w:pPr>
        <w:pStyle w:val="15"/>
        <w:tabs>
          <w:tab w:val="right" w:leader="dot" w:pos="8302"/>
        </w:tabs>
        <w:spacing w:line="480" w:lineRule="exact"/>
        <w:rPr>
          <w:rFonts w:eastAsiaTheme="minorEastAsia"/>
          <w:sz w:val="24"/>
        </w:rPr>
      </w:pPr>
      <w:r>
        <w:fldChar w:fldCharType="begin"/>
      </w:r>
      <w:r>
        <w:instrText xml:space="preserve"> HYPERLINK \l "_Toc108940937" </w:instrText>
      </w:r>
      <w:r>
        <w:fldChar w:fldCharType="separate"/>
      </w:r>
      <w:r>
        <w:rPr>
          <w:rStyle w:val="22"/>
          <w:rFonts w:eastAsiaTheme="minorEastAsia"/>
          <w:color w:val="auto"/>
          <w:sz w:val="24"/>
          <w:u w:val="none"/>
        </w:rPr>
        <w:t>9.1防雷</w:t>
      </w:r>
      <w:r>
        <w:rPr>
          <w:rFonts w:asciiTheme="minorEastAsia" w:hAnsiTheme="minorEastAsia" w:eastAsiaTheme="minorEastAsia"/>
          <w:kern w:val="0"/>
          <w:sz w:val="24"/>
        </w:rPr>
        <w:tab/>
      </w:r>
      <w:r>
        <w:rPr>
          <w:rFonts w:eastAsiaTheme="minorEastAsia"/>
          <w:sz w:val="24"/>
        </w:rPr>
        <w:fldChar w:fldCharType="begin"/>
      </w:r>
      <w:r>
        <w:rPr>
          <w:rFonts w:eastAsiaTheme="minorEastAsia"/>
          <w:sz w:val="24"/>
        </w:rPr>
        <w:instrText xml:space="preserve"> PAGEREF _Toc108940937 \h </w:instrText>
      </w:r>
      <w:r>
        <w:rPr>
          <w:rFonts w:eastAsiaTheme="minorEastAsia"/>
          <w:sz w:val="24"/>
        </w:rPr>
        <w:fldChar w:fldCharType="separate"/>
      </w:r>
      <w:r>
        <w:rPr>
          <w:rFonts w:eastAsiaTheme="minorEastAsia"/>
          <w:sz w:val="24"/>
        </w:rPr>
        <w:t>27</w:t>
      </w:r>
      <w:r>
        <w:rPr>
          <w:rFonts w:eastAsiaTheme="minorEastAsia"/>
          <w:sz w:val="24"/>
        </w:rPr>
        <w:fldChar w:fldCharType="end"/>
      </w:r>
      <w:r>
        <w:rPr>
          <w:rFonts w:eastAsiaTheme="minorEastAsia"/>
          <w:sz w:val="24"/>
        </w:rPr>
        <w:fldChar w:fldCharType="end"/>
      </w:r>
    </w:p>
    <w:p>
      <w:pPr>
        <w:pStyle w:val="15"/>
        <w:tabs>
          <w:tab w:val="right" w:leader="dot" w:pos="8302"/>
        </w:tabs>
        <w:spacing w:line="480" w:lineRule="exact"/>
        <w:rPr>
          <w:rFonts w:eastAsiaTheme="minorEastAsia"/>
          <w:sz w:val="24"/>
        </w:rPr>
      </w:pPr>
      <w:r>
        <w:fldChar w:fldCharType="begin"/>
      </w:r>
      <w:r>
        <w:instrText xml:space="preserve"> HYPERLINK \l "_Toc108940938" </w:instrText>
      </w:r>
      <w:r>
        <w:fldChar w:fldCharType="separate"/>
      </w:r>
      <w:r>
        <w:rPr>
          <w:rStyle w:val="22"/>
          <w:rFonts w:eastAsiaTheme="minorEastAsia"/>
          <w:color w:val="auto"/>
          <w:sz w:val="24"/>
          <w:u w:val="none"/>
        </w:rPr>
        <w:t>9.2防静电</w:t>
      </w:r>
      <w:r>
        <w:rPr>
          <w:rFonts w:asciiTheme="minorEastAsia" w:hAnsiTheme="minorEastAsia" w:eastAsiaTheme="minorEastAsia"/>
          <w:kern w:val="0"/>
          <w:sz w:val="24"/>
        </w:rPr>
        <w:tab/>
      </w:r>
      <w:r>
        <w:rPr>
          <w:rFonts w:eastAsiaTheme="minorEastAsia"/>
          <w:sz w:val="24"/>
        </w:rPr>
        <w:fldChar w:fldCharType="begin"/>
      </w:r>
      <w:r>
        <w:rPr>
          <w:rFonts w:eastAsiaTheme="minorEastAsia"/>
          <w:sz w:val="24"/>
        </w:rPr>
        <w:instrText xml:space="preserve"> PAGEREF _Toc108940938 \h </w:instrText>
      </w:r>
      <w:r>
        <w:rPr>
          <w:rFonts w:eastAsiaTheme="minorEastAsia"/>
          <w:sz w:val="24"/>
        </w:rPr>
        <w:fldChar w:fldCharType="separate"/>
      </w:r>
      <w:r>
        <w:rPr>
          <w:rFonts w:eastAsiaTheme="minorEastAsia"/>
          <w:sz w:val="24"/>
        </w:rPr>
        <w:t>28</w:t>
      </w:r>
      <w:r>
        <w:rPr>
          <w:rFonts w:eastAsiaTheme="minorEastAsia"/>
          <w:sz w:val="24"/>
        </w:rPr>
        <w:fldChar w:fldCharType="end"/>
      </w:r>
      <w:r>
        <w:rPr>
          <w:rFonts w:eastAsiaTheme="minorEastAsia"/>
          <w:sz w:val="24"/>
        </w:rPr>
        <w:fldChar w:fldCharType="end"/>
      </w:r>
    </w:p>
    <w:p>
      <w:pPr>
        <w:pStyle w:val="13"/>
        <w:rPr>
          <w:rFonts w:eastAsiaTheme="minorEastAsia"/>
        </w:rPr>
      </w:pPr>
      <w:r>
        <w:fldChar w:fldCharType="begin"/>
      </w:r>
      <w:r>
        <w:instrText xml:space="preserve"> HYPERLINK \l "_Toc108940939" </w:instrText>
      </w:r>
      <w:r>
        <w:fldChar w:fldCharType="separate"/>
      </w:r>
      <w:r>
        <w:rPr>
          <w:rStyle w:val="22"/>
          <w:rFonts w:eastAsiaTheme="minorEastAsia"/>
          <w:color w:val="auto"/>
          <w:u w:val="none"/>
        </w:rPr>
        <w:t>10 给水排水及消防</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_Toc108940939 \h </w:instrText>
      </w:r>
      <w:r>
        <w:rPr>
          <w:rFonts w:eastAsiaTheme="minorEastAsia"/>
        </w:rPr>
        <w:fldChar w:fldCharType="separate"/>
      </w:r>
      <w:r>
        <w:rPr>
          <w:rFonts w:eastAsiaTheme="minorEastAsia"/>
        </w:rPr>
        <w:t>30</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"_Toc108940940" </w:instrText>
      </w:r>
      <w:r>
        <w:fldChar w:fldCharType="separate"/>
      </w:r>
      <w:r>
        <w:rPr>
          <w:rStyle w:val="22"/>
          <w:rFonts w:eastAsiaTheme="minorEastAsia"/>
          <w:color w:val="auto"/>
          <w:u w:val="none"/>
        </w:rPr>
        <w:t>11 采暖通风</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_Toc108940940 \h </w:instrText>
      </w:r>
      <w:r>
        <w:rPr>
          <w:rFonts w:eastAsiaTheme="minorEastAsia"/>
        </w:rPr>
        <w:fldChar w:fldCharType="separate"/>
      </w:r>
      <w:r>
        <w:rPr>
          <w:rFonts w:eastAsiaTheme="minorEastAsia"/>
        </w:rPr>
        <w:t>31</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"_Toc108940941" </w:instrText>
      </w:r>
      <w:r>
        <w:fldChar w:fldCharType="separate"/>
      </w:r>
      <w:r>
        <w:rPr>
          <w:rStyle w:val="22"/>
          <w:rFonts w:eastAsiaTheme="minorEastAsia"/>
          <w:color w:val="auto"/>
          <w:u w:val="none"/>
        </w:rPr>
        <w:t>12氢管道</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_Toc108940941 \h </w:instrText>
      </w:r>
      <w:r>
        <w:rPr>
          <w:rFonts w:eastAsiaTheme="minorEastAsia"/>
        </w:rPr>
        <w:fldChar w:fldCharType="separate"/>
      </w:r>
      <w:r>
        <w:rPr>
          <w:rFonts w:eastAsiaTheme="minorEastAsia"/>
        </w:rPr>
        <w:t>32</w:t>
      </w:r>
      <w:r>
        <w:rPr>
          <w:rFonts w:eastAsiaTheme="minorEastAsia"/>
        </w:rPr>
        <w:fldChar w:fldCharType="end"/>
      </w:r>
      <w:r>
        <w:rPr>
          <w:rFonts w:eastAsiaTheme="minorEastAsia"/>
        </w:rPr>
        <w:fldChar w:fldCharType="end"/>
      </w:r>
    </w:p>
    <w:p>
      <w:pPr>
        <w:pStyle w:val="15"/>
        <w:tabs>
          <w:tab w:val="right" w:leader="dot" w:pos="8302"/>
        </w:tabs>
        <w:spacing w:line="480" w:lineRule="exact"/>
        <w:rPr>
          <w:rFonts w:eastAsiaTheme="minorEastAsia"/>
          <w:sz w:val="24"/>
        </w:rPr>
      </w:pPr>
      <w:r>
        <w:fldChar w:fldCharType="begin"/>
      </w:r>
      <w:r>
        <w:instrText xml:space="preserve"> HYPERLINK \l "_Toc108940942" </w:instrText>
      </w:r>
      <w:r>
        <w:fldChar w:fldCharType="separate"/>
      </w:r>
      <w:r>
        <w:rPr>
          <w:rStyle w:val="22"/>
          <w:rFonts w:eastAsiaTheme="minorEastAsia"/>
          <w:color w:val="auto"/>
          <w:sz w:val="24"/>
          <w:u w:val="none"/>
        </w:rPr>
        <w:t>12.1一般规定</w:t>
      </w:r>
      <w:r>
        <w:rPr>
          <w:rFonts w:asciiTheme="minorEastAsia" w:hAnsiTheme="minorEastAsia" w:eastAsiaTheme="minorEastAsia"/>
          <w:kern w:val="0"/>
          <w:sz w:val="24"/>
        </w:rPr>
        <w:tab/>
      </w:r>
      <w:r>
        <w:rPr>
          <w:rFonts w:eastAsiaTheme="minorEastAsia"/>
          <w:sz w:val="24"/>
        </w:rPr>
        <w:fldChar w:fldCharType="begin"/>
      </w:r>
      <w:r>
        <w:rPr>
          <w:rFonts w:eastAsiaTheme="minorEastAsia"/>
          <w:sz w:val="24"/>
        </w:rPr>
        <w:instrText xml:space="preserve"> PAGEREF _Toc108940942 \h </w:instrText>
      </w:r>
      <w:r>
        <w:rPr>
          <w:rFonts w:eastAsiaTheme="minorEastAsia"/>
          <w:sz w:val="24"/>
        </w:rPr>
        <w:fldChar w:fldCharType="separate"/>
      </w:r>
      <w:r>
        <w:rPr>
          <w:rFonts w:eastAsiaTheme="minorEastAsia"/>
          <w:sz w:val="24"/>
        </w:rPr>
        <w:t>32</w:t>
      </w:r>
      <w:r>
        <w:rPr>
          <w:rFonts w:eastAsiaTheme="minorEastAsia"/>
          <w:sz w:val="24"/>
        </w:rPr>
        <w:fldChar w:fldCharType="end"/>
      </w:r>
      <w:r>
        <w:rPr>
          <w:rFonts w:eastAsiaTheme="minorEastAsia"/>
          <w:sz w:val="24"/>
        </w:rPr>
        <w:fldChar w:fldCharType="end"/>
      </w:r>
    </w:p>
    <w:p>
      <w:pPr>
        <w:pStyle w:val="15"/>
        <w:tabs>
          <w:tab w:val="right" w:leader="dot" w:pos="8302"/>
        </w:tabs>
        <w:spacing w:line="480" w:lineRule="exact"/>
        <w:rPr>
          <w:rFonts w:eastAsiaTheme="minorEastAsia"/>
          <w:sz w:val="24"/>
        </w:rPr>
      </w:pPr>
      <w:r>
        <w:fldChar w:fldCharType="begin"/>
      </w:r>
      <w:r>
        <w:instrText xml:space="preserve"> HYPERLINK \l "_Toc108940943" </w:instrText>
      </w:r>
      <w:r>
        <w:fldChar w:fldCharType="separate"/>
      </w:r>
      <w:r>
        <w:rPr>
          <w:rStyle w:val="22"/>
          <w:rFonts w:eastAsiaTheme="minorEastAsia"/>
          <w:color w:val="auto"/>
          <w:sz w:val="24"/>
          <w:u w:val="none"/>
        </w:rPr>
        <w:t>12.2 氢气管道及组成件</w:t>
      </w:r>
      <w:r>
        <w:rPr>
          <w:rFonts w:asciiTheme="minorEastAsia" w:hAnsiTheme="minorEastAsia" w:eastAsiaTheme="minorEastAsia"/>
          <w:kern w:val="0"/>
          <w:sz w:val="24"/>
        </w:rPr>
        <w:tab/>
      </w:r>
      <w:r>
        <w:rPr>
          <w:rFonts w:eastAsiaTheme="minorEastAsia"/>
          <w:sz w:val="24"/>
        </w:rPr>
        <w:fldChar w:fldCharType="begin"/>
      </w:r>
      <w:r>
        <w:rPr>
          <w:rFonts w:eastAsiaTheme="minorEastAsia"/>
          <w:sz w:val="24"/>
        </w:rPr>
        <w:instrText xml:space="preserve"> PAGEREF _Toc108940943 \h </w:instrText>
      </w:r>
      <w:r>
        <w:rPr>
          <w:rFonts w:eastAsiaTheme="minorEastAsia"/>
          <w:sz w:val="24"/>
        </w:rPr>
        <w:fldChar w:fldCharType="separate"/>
      </w:r>
      <w:r>
        <w:rPr>
          <w:rFonts w:eastAsiaTheme="minorEastAsia"/>
          <w:sz w:val="24"/>
        </w:rPr>
        <w:t>35</w:t>
      </w:r>
      <w:r>
        <w:rPr>
          <w:rFonts w:eastAsiaTheme="minorEastAsia"/>
          <w:sz w:val="24"/>
        </w:rPr>
        <w:fldChar w:fldCharType="end"/>
      </w:r>
      <w:r>
        <w:rPr>
          <w:rFonts w:eastAsiaTheme="minorEastAsia"/>
          <w:sz w:val="24"/>
        </w:rPr>
        <w:fldChar w:fldCharType="end"/>
      </w:r>
    </w:p>
    <w:p>
      <w:pPr>
        <w:pStyle w:val="15"/>
        <w:tabs>
          <w:tab w:val="right" w:leader="dot" w:pos="8302"/>
        </w:tabs>
        <w:spacing w:line="480" w:lineRule="exact"/>
        <w:rPr>
          <w:rFonts w:eastAsiaTheme="minorEastAsia"/>
          <w:sz w:val="24"/>
        </w:rPr>
      </w:pPr>
      <w:r>
        <w:fldChar w:fldCharType="begin"/>
      </w:r>
      <w:r>
        <w:instrText xml:space="preserve"> HYPERLINK \l "_Toc108940944" </w:instrText>
      </w:r>
      <w:r>
        <w:fldChar w:fldCharType="separate"/>
      </w:r>
      <w:r>
        <w:rPr>
          <w:rStyle w:val="22"/>
          <w:rFonts w:eastAsiaTheme="minorEastAsia"/>
          <w:color w:val="auto"/>
          <w:sz w:val="24"/>
          <w:u w:val="none"/>
        </w:rPr>
        <w:t>12.3 液氢、低温氢气管道及组成件</w:t>
      </w:r>
      <w:r>
        <w:rPr>
          <w:rFonts w:asciiTheme="minorEastAsia" w:hAnsiTheme="minorEastAsia" w:eastAsiaTheme="minorEastAsia"/>
          <w:kern w:val="0"/>
          <w:sz w:val="24"/>
        </w:rPr>
        <w:tab/>
      </w:r>
      <w:r>
        <w:rPr>
          <w:rFonts w:eastAsiaTheme="minorEastAsia"/>
          <w:sz w:val="24"/>
        </w:rPr>
        <w:fldChar w:fldCharType="begin"/>
      </w:r>
      <w:r>
        <w:rPr>
          <w:rFonts w:eastAsiaTheme="minorEastAsia"/>
          <w:sz w:val="24"/>
        </w:rPr>
        <w:instrText xml:space="preserve"> PAGEREF _Toc108940944 \h </w:instrText>
      </w:r>
      <w:r>
        <w:rPr>
          <w:rFonts w:eastAsiaTheme="minorEastAsia"/>
          <w:sz w:val="24"/>
        </w:rPr>
        <w:fldChar w:fldCharType="separate"/>
      </w:r>
      <w:r>
        <w:rPr>
          <w:rFonts w:eastAsiaTheme="minorEastAsia"/>
          <w:sz w:val="24"/>
        </w:rPr>
        <w:t>38</w:t>
      </w:r>
      <w:r>
        <w:rPr>
          <w:rFonts w:eastAsiaTheme="minorEastAsia"/>
          <w:sz w:val="24"/>
        </w:rPr>
        <w:fldChar w:fldCharType="end"/>
      </w:r>
      <w:r>
        <w:rPr>
          <w:rFonts w:eastAsiaTheme="minorEastAsia"/>
          <w:sz w:val="24"/>
        </w:rPr>
        <w:fldChar w:fldCharType="end"/>
      </w:r>
    </w:p>
    <w:p>
      <w:pPr>
        <w:pStyle w:val="15"/>
        <w:tabs>
          <w:tab w:val="right" w:leader="dot" w:pos="8302"/>
        </w:tabs>
        <w:spacing w:line="480" w:lineRule="exact"/>
        <w:rPr>
          <w:rFonts w:eastAsiaTheme="minorEastAsia"/>
          <w:sz w:val="24"/>
        </w:rPr>
      </w:pPr>
      <w:r>
        <w:fldChar w:fldCharType="begin"/>
      </w:r>
      <w:r>
        <w:instrText xml:space="preserve"> HYPERLINK \l "_Toc108940945" </w:instrText>
      </w:r>
      <w:r>
        <w:fldChar w:fldCharType="separate"/>
      </w:r>
      <w:r>
        <w:rPr>
          <w:rStyle w:val="22"/>
          <w:rFonts w:eastAsiaTheme="minorEastAsia"/>
          <w:color w:val="auto"/>
          <w:sz w:val="24"/>
          <w:u w:val="none"/>
        </w:rPr>
        <w:t>12.4厂际管道</w:t>
      </w:r>
      <w:r>
        <w:rPr>
          <w:rFonts w:asciiTheme="minorEastAsia" w:hAnsiTheme="minorEastAsia" w:eastAsiaTheme="minorEastAsia"/>
          <w:kern w:val="0"/>
          <w:sz w:val="24"/>
        </w:rPr>
        <w:tab/>
      </w:r>
      <w:r>
        <w:rPr>
          <w:rFonts w:eastAsiaTheme="minorEastAsia"/>
          <w:sz w:val="24"/>
        </w:rPr>
        <w:fldChar w:fldCharType="begin"/>
      </w:r>
      <w:r>
        <w:rPr>
          <w:rFonts w:eastAsiaTheme="minorEastAsia"/>
          <w:sz w:val="24"/>
        </w:rPr>
        <w:instrText xml:space="preserve"> PAGEREF _Toc108940945 \h </w:instrText>
      </w:r>
      <w:r>
        <w:rPr>
          <w:rFonts w:eastAsiaTheme="minorEastAsia"/>
          <w:sz w:val="24"/>
        </w:rPr>
        <w:fldChar w:fldCharType="separate"/>
      </w:r>
      <w:r>
        <w:rPr>
          <w:rFonts w:eastAsiaTheme="minorEastAsia"/>
          <w:sz w:val="24"/>
        </w:rPr>
        <w:t>39</w:t>
      </w:r>
      <w:r>
        <w:rPr>
          <w:rFonts w:eastAsiaTheme="minorEastAsia"/>
          <w:sz w:val="24"/>
        </w:rPr>
        <w:fldChar w:fldCharType="end"/>
      </w:r>
      <w:r>
        <w:rPr>
          <w:rFonts w:eastAsiaTheme="minorEastAsia"/>
          <w:sz w:val="24"/>
        </w:rPr>
        <w:fldChar w:fldCharType="end"/>
      </w:r>
    </w:p>
    <w:p>
      <w:pPr>
        <w:pStyle w:val="13"/>
        <w:rPr>
          <w:rFonts w:eastAsiaTheme="minorEastAsia"/>
        </w:rPr>
      </w:pPr>
      <w:r>
        <w:fldChar w:fldCharType="begin"/>
      </w:r>
      <w:r>
        <w:instrText xml:space="preserve"> HYPERLINK \l "_Toc108940946" </w:instrText>
      </w:r>
      <w:r>
        <w:fldChar w:fldCharType="separate"/>
      </w:r>
      <w:r>
        <w:rPr>
          <w:rStyle w:val="22"/>
          <w:rFonts w:eastAsiaTheme="minorEastAsia"/>
          <w:color w:val="auto"/>
          <w:u w:val="none"/>
        </w:rPr>
        <w:t>附录A  氢气站爆炸危险区域的等级范围划分</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_Toc108940946 \h </w:instrText>
      </w:r>
      <w:r>
        <w:rPr>
          <w:rFonts w:eastAsiaTheme="minorEastAsia"/>
        </w:rPr>
        <w:fldChar w:fldCharType="separate"/>
      </w:r>
      <w:r>
        <w:rPr>
          <w:rFonts w:eastAsiaTheme="minorEastAsia"/>
        </w:rPr>
        <w:t>41</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"_Toc108940947" </w:instrText>
      </w:r>
      <w:r>
        <w:fldChar w:fldCharType="separate"/>
      </w:r>
      <w:r>
        <w:rPr>
          <w:rStyle w:val="22"/>
          <w:rFonts w:eastAsiaTheme="minorEastAsia"/>
          <w:color w:val="auto"/>
          <w:u w:val="none"/>
        </w:rPr>
        <w:t>附录B  室内架空氢气管道与其它架空管线之间的最小净距</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_Toc108940947 \h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rPr>
          <w:rFonts w:eastAsiaTheme="minorEastAsia"/>
        </w:rPr>
      </w:pPr>
      <w:r>
        <w:fldChar w:fldCharType="begin"/>
      </w:r>
      <w:r>
        <w:instrText xml:space="preserve"> HYPERLINK \l "_Toc108940948" </w:instrText>
      </w:r>
      <w:r>
        <w:fldChar w:fldCharType="separate"/>
      </w:r>
      <w:r>
        <w:rPr>
          <w:rStyle w:val="22"/>
          <w:rFonts w:eastAsiaTheme="minorEastAsia"/>
          <w:color w:val="auto"/>
          <w:u w:val="none"/>
        </w:rPr>
        <w:t>附录C  室外架空氢气管道与建筑物、构筑物之间的最小净距</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_Toc108940948 \h </w:instrText>
      </w:r>
      <w:r>
        <w:rPr>
          <w:rFonts w:eastAsiaTheme="minorEastAsia"/>
        </w:rPr>
        <w:fldChar w:fldCharType="separate"/>
      </w:r>
      <w:r>
        <w:rPr>
          <w:rFonts w:eastAsiaTheme="minorEastAsia"/>
        </w:rPr>
        <w:t>44</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"_Toc108940949" </w:instrText>
      </w:r>
      <w:r>
        <w:fldChar w:fldCharType="separate"/>
      </w:r>
      <w:r>
        <w:rPr>
          <w:rStyle w:val="22"/>
          <w:rFonts w:eastAsiaTheme="minorEastAsia"/>
          <w:color w:val="auto"/>
          <w:u w:val="none"/>
        </w:rPr>
        <w:t>附录D  室外直接埋地氢气管道与</w:t>
      </w:r>
      <w:r>
        <w:rPr>
          <w:rStyle w:val="22"/>
          <w:rFonts w:eastAsiaTheme="minorEastAsia"/>
          <w:color w:val="auto"/>
          <w:u w:val="none"/>
        </w:rPr>
        <w:fldChar w:fldCharType="end"/>
      </w:r>
      <w:r>
        <w:fldChar w:fldCharType="begin"/>
      </w:r>
      <w:r>
        <w:instrText xml:space="preserve"> HYPERLINK \l "_Toc108940950" </w:instrText>
      </w:r>
      <w:r>
        <w:fldChar w:fldCharType="separate"/>
      </w:r>
      <w:r>
        <w:rPr>
          <w:rStyle w:val="22"/>
          <w:rFonts w:eastAsiaTheme="minorEastAsia"/>
          <w:color w:val="auto"/>
          <w:u w:val="none"/>
        </w:rPr>
        <w:t>其它埋地管线、建筑物、构筑物之间的最小净距</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_Toc108940950 \h </w:instrText>
      </w:r>
      <w:r>
        <w:rPr>
          <w:rFonts w:eastAsiaTheme="minorEastAsia"/>
        </w:rPr>
        <w:fldChar w:fldCharType="separate"/>
      </w:r>
      <w:r>
        <w:rPr>
          <w:rFonts w:eastAsiaTheme="minorEastAsia"/>
        </w:rPr>
        <w:t>45</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"_Toc108940951" </w:instrText>
      </w:r>
      <w:r>
        <w:fldChar w:fldCharType="separate"/>
      </w:r>
      <w:r>
        <w:rPr>
          <w:rStyle w:val="22"/>
          <w:rFonts w:eastAsiaTheme="minorEastAsia"/>
          <w:color w:val="auto"/>
          <w:u w:val="none"/>
        </w:rPr>
        <w:t>附录E  氢气的冲蚀速度</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_Toc108940951 \h </w:instrText>
      </w:r>
      <w:r>
        <w:rPr>
          <w:rFonts w:eastAsiaTheme="minorEastAsia"/>
        </w:rPr>
        <w:fldChar w:fldCharType="separate"/>
      </w:r>
      <w:r>
        <w:rPr>
          <w:rFonts w:eastAsiaTheme="minorEastAsia"/>
        </w:rPr>
        <w:t>47</w:t>
      </w:r>
      <w:r>
        <w:rPr>
          <w:rFonts w:eastAsiaTheme="minorEastAsia"/>
        </w:rPr>
        <w:fldChar w:fldCharType="end"/>
      </w:r>
      <w:r>
        <w:rPr>
          <w:rFonts w:eastAsiaTheme="minorEastAsia"/>
        </w:rPr>
        <w:fldChar w:fldCharType="end"/>
      </w:r>
    </w:p>
    <w:p>
      <w:pPr>
        <w:spacing w:line="360" w:lineRule="auto"/>
        <w:rPr>
          <w:b/>
          <w:bCs/>
          <w:sz w:val="24"/>
          <w:lang w:val="zh-CN"/>
        </w:rPr>
      </w:pPr>
      <w:r>
        <w:rPr>
          <w:rFonts w:eastAsiaTheme="minorEastAsia"/>
          <w:bCs/>
          <w:sz w:val="24"/>
          <w:lang w:val="zh-CN"/>
        </w:rPr>
        <w:fldChar w:fldCharType="end"/>
      </w:r>
    </w:p>
    <w:p>
      <w:pPr>
        <w:spacing w:line="360" w:lineRule="auto"/>
        <w:rPr>
          <w:sz w:val="28"/>
        </w:rPr>
        <w:sectPr>
          <w:footerReference r:id="rId3" w:type="default"/>
          <w:pgSz w:w="11906" w:h="16838"/>
          <w:pgMar w:top="1440" w:right="1797" w:bottom="1440" w:left="1797" w:header="851" w:footer="992" w:gutter="0"/>
          <w:pgNumType w:start="1"/>
          <w:cols w:space="425" w:num="1"/>
          <w:docGrid w:linePitch="312" w:charSpace="0"/>
        </w:sectPr>
      </w:pPr>
    </w:p>
    <w:p>
      <w:pPr>
        <w:tabs>
          <w:tab w:val="left" w:leader="middleDot" w:pos="7800"/>
        </w:tabs>
        <w:spacing w:line="460" w:lineRule="exact"/>
        <w:jc w:val="center"/>
        <w:rPr>
          <w:rFonts w:eastAsiaTheme="minorEastAsia"/>
          <w:b/>
          <w:bCs/>
          <w:caps/>
          <w:spacing w:val="10"/>
          <w:sz w:val="24"/>
        </w:rPr>
      </w:pPr>
      <w:r>
        <w:rPr>
          <w:rFonts w:eastAsiaTheme="minorEastAsia"/>
          <w:b/>
          <w:sz w:val="28"/>
          <w:szCs w:val="28"/>
        </w:rPr>
        <w:t>Contents</w:t>
      </w:r>
    </w:p>
    <w:p>
      <w:pPr>
        <w:pStyle w:val="13"/>
        <w:tabs>
          <w:tab w:val="right" w:leader="dot" w:pos="9345"/>
        </w:tabs>
        <w:spacing w:line="420" w:lineRule="exact"/>
        <w:rPr>
          <w:rFonts w:eastAsiaTheme="minorEastAsia"/>
        </w:rPr>
      </w:pPr>
      <w:r>
        <w:fldChar w:fldCharType="begin"/>
      </w:r>
      <w:r>
        <w:instrText xml:space="preserve"> HYPERLINK \l "_Toc289350087" </w:instrText>
      </w:r>
      <w:r>
        <w:fldChar w:fldCharType="separate"/>
      </w:r>
      <w:r>
        <w:rPr>
          <w:rFonts w:eastAsiaTheme="minorEastAsia"/>
        </w:rPr>
        <w:t>1  General provisions</w:t>
      </w:r>
      <w:r>
        <w:rPr>
          <w:rFonts w:asciiTheme="minorEastAsia" w:hAnsiTheme="minorEastAsia" w:eastAsiaTheme="minorEastAsia"/>
        </w:rPr>
        <w:tab/>
      </w:r>
      <w:r>
        <w:rPr>
          <w:rFonts w:eastAsiaTheme="minorEastAsia"/>
        </w:rPr>
        <w:t>1</w:t>
      </w:r>
      <w:r>
        <w:rPr>
          <w:rFonts w:eastAsiaTheme="minorEastAsia"/>
        </w:rPr>
        <w:fldChar w:fldCharType="end"/>
      </w:r>
    </w:p>
    <w:p>
      <w:pPr>
        <w:pStyle w:val="13"/>
        <w:tabs>
          <w:tab w:val="right" w:leader="dot" w:pos="9345"/>
        </w:tabs>
        <w:spacing w:line="420" w:lineRule="exact"/>
        <w:rPr>
          <w:rFonts w:eastAsiaTheme="minorEastAsia"/>
        </w:rPr>
      </w:pPr>
      <w:r>
        <w:fldChar w:fldCharType="begin"/>
      </w:r>
      <w:r>
        <w:instrText xml:space="preserve"> HYPERLINK \l "_Toc289350088" </w:instrText>
      </w:r>
      <w:r>
        <w:fldChar w:fldCharType="separate"/>
      </w:r>
      <w:r>
        <w:rPr>
          <w:rFonts w:eastAsiaTheme="minorEastAsia"/>
        </w:rPr>
        <w:t xml:space="preserve">2  Terms </w:t>
      </w:r>
      <w:r>
        <w:rPr>
          <w:rFonts w:asciiTheme="minorEastAsia" w:hAnsiTheme="minorEastAsia" w:eastAsiaTheme="minorEastAsia"/>
        </w:rPr>
        <w:tab/>
      </w:r>
      <w:r>
        <w:rPr>
          <w:rFonts w:eastAsiaTheme="minorEastAsia"/>
        </w:rPr>
        <w:t>2</w:t>
      </w:r>
      <w:r>
        <w:rPr>
          <w:rFonts w:eastAsiaTheme="minorEastAsia"/>
        </w:rPr>
        <w:fldChar w:fldCharType="end"/>
      </w:r>
    </w:p>
    <w:p>
      <w:pPr>
        <w:pStyle w:val="13"/>
        <w:rPr>
          <w:rFonts w:eastAsiaTheme="minorEastAsia"/>
        </w:rPr>
      </w:pPr>
      <w:r>
        <w:fldChar w:fldCharType="begin"/>
      </w:r>
      <w:r>
        <w:instrText xml:space="preserve"> HYPERLINK \l "_Toc289350093" </w:instrText>
      </w:r>
      <w:r>
        <w:fldChar w:fldCharType="separate"/>
      </w:r>
      <w:r>
        <w:rPr>
          <w:rFonts w:eastAsiaTheme="minorEastAsia"/>
        </w:rPr>
        <w:t>3  General Plot Plan</w:t>
      </w:r>
      <w:r>
        <w:rPr>
          <w:rFonts w:asciiTheme="minorEastAsia" w:hAnsiTheme="minorEastAsia" w:eastAsiaTheme="minorEastAsia"/>
        </w:rPr>
        <w:tab/>
      </w:r>
      <w:r>
        <w:rPr>
          <w:rFonts w:asciiTheme="minorEastAsia" w:hAnsiTheme="minorEastAsia" w:eastAsiaTheme="minorEastAsia"/>
        </w:rPr>
        <w:fldChar w:fldCharType="end"/>
      </w:r>
      <w:r>
        <w:rPr>
          <w:rFonts w:eastAsiaTheme="minorEastAsia"/>
        </w:rPr>
        <w:t xml:space="preserve">6 </w:t>
      </w:r>
    </w:p>
    <w:p>
      <w:pPr>
        <w:pStyle w:val="13"/>
        <w:rPr>
          <w:rFonts w:eastAsiaTheme="minorEastAsia"/>
        </w:rPr>
      </w:pPr>
      <w:r>
        <w:fldChar w:fldCharType="begin"/>
      </w:r>
      <w:r>
        <w:instrText xml:space="preserve"> HYPERLINK \l "_Toc108940931" </w:instrText>
      </w:r>
      <w:r>
        <w:fldChar w:fldCharType="separate"/>
      </w:r>
      <w:r>
        <w:rPr>
          <w:rFonts w:eastAsiaTheme="minorEastAsia"/>
        </w:rPr>
        <w:t>4  Process system</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_Toc108940931 \h </w:instrText>
      </w:r>
      <w:r>
        <w:rPr>
          <w:rFonts w:eastAsiaTheme="minorEastAsia"/>
        </w:rPr>
        <w:fldChar w:fldCharType="separate"/>
      </w:r>
      <w:r>
        <w:rPr>
          <w:rFonts w:eastAsiaTheme="minorEastAsia"/>
        </w:rPr>
        <w:t>10</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"_Toc108940932" </w:instrText>
      </w:r>
      <w:r>
        <w:fldChar w:fldCharType="separate"/>
      </w:r>
      <w:r>
        <w:rPr>
          <w:rFonts w:eastAsiaTheme="minorEastAsia"/>
        </w:rPr>
        <w:t>5  Selection of equipments</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_Toc108940932 \h </w:instrText>
      </w:r>
      <w:r>
        <w:rPr>
          <w:rFonts w:eastAsiaTheme="minorEastAsia"/>
        </w:rPr>
        <w:fldChar w:fldCharType="separate"/>
      </w:r>
      <w:r>
        <w:rPr>
          <w:rFonts w:eastAsiaTheme="minorEastAsia"/>
        </w:rPr>
        <w:t>15</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"_Toc108940933" </w:instrText>
      </w:r>
      <w:r>
        <w:fldChar w:fldCharType="separate"/>
      </w:r>
      <w:r>
        <w:rPr>
          <w:rFonts w:eastAsiaTheme="minorEastAsia"/>
        </w:rPr>
        <w:t>6  Process layout</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_Toc108940933 \h </w:instrText>
      </w:r>
      <w:r>
        <w:rPr>
          <w:rFonts w:eastAsiaTheme="minorEastAsia"/>
        </w:rPr>
        <w:fldChar w:fldCharType="separate"/>
      </w:r>
      <w:r>
        <w:rPr>
          <w:rFonts w:eastAsiaTheme="minorEastAsia"/>
        </w:rPr>
        <w:t>19</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"_Toc108940934" </w:instrText>
      </w:r>
      <w:r>
        <w:fldChar w:fldCharType="separate"/>
      </w:r>
      <w:r>
        <w:rPr>
          <w:rFonts w:eastAsiaTheme="minorEastAsia"/>
        </w:rPr>
        <w:t>7  Architectural structure</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_Toc108940934 \h </w:instrText>
      </w:r>
      <w:r>
        <w:rPr>
          <w:rFonts w:eastAsiaTheme="minorEastAsia"/>
        </w:rPr>
        <w:fldChar w:fldCharType="separate"/>
      </w:r>
      <w:r>
        <w:rPr>
          <w:rFonts w:eastAsiaTheme="minorEastAsia"/>
        </w:rPr>
        <w:t>22</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"_Toc108940935" </w:instrText>
      </w:r>
      <w:r>
        <w:fldChar w:fldCharType="separate"/>
      </w:r>
      <w:r>
        <w:rPr>
          <w:rFonts w:eastAsiaTheme="minorEastAsia"/>
        </w:rPr>
        <w:t>8  Electrical and Instrumentation Control</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_Toc108940935 \h </w:instrText>
      </w:r>
      <w:r>
        <w:rPr>
          <w:rFonts w:eastAsiaTheme="minorEastAsia"/>
        </w:rPr>
        <w:fldChar w:fldCharType="separate"/>
      </w:r>
      <w:r>
        <w:rPr>
          <w:rFonts w:eastAsiaTheme="minorEastAsia"/>
        </w:rPr>
        <w:t>24</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"_Toc108940936" </w:instrText>
      </w:r>
      <w:r>
        <w:fldChar w:fldCharType="separate"/>
      </w:r>
      <w:r>
        <w:rPr>
          <w:rFonts w:eastAsiaTheme="minorEastAsia"/>
        </w:rPr>
        <w:t>9  Lightning protection and electrostatic protection</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_Toc108940936 \h </w:instrText>
      </w:r>
      <w:r>
        <w:rPr>
          <w:rFonts w:eastAsiaTheme="minorEastAsia"/>
        </w:rPr>
        <w:fldChar w:fldCharType="separate"/>
      </w:r>
      <w:r>
        <w:rPr>
          <w:rFonts w:eastAsiaTheme="minorEastAsia"/>
        </w:rPr>
        <w:t>27</w:t>
      </w:r>
      <w:r>
        <w:rPr>
          <w:rFonts w:eastAsiaTheme="minorEastAsia"/>
        </w:rPr>
        <w:fldChar w:fldCharType="end"/>
      </w:r>
      <w:r>
        <w:rPr>
          <w:rFonts w:eastAsiaTheme="minorEastAsia"/>
        </w:rPr>
        <w:fldChar w:fldCharType="end"/>
      </w:r>
    </w:p>
    <w:p>
      <w:pPr>
        <w:pStyle w:val="15"/>
        <w:tabs>
          <w:tab w:val="right" w:leader="dot" w:pos="8302"/>
        </w:tabs>
        <w:spacing w:line="480" w:lineRule="exact"/>
        <w:rPr>
          <w:rFonts w:eastAsiaTheme="minorEastAsia"/>
          <w:sz w:val="24"/>
        </w:rPr>
      </w:pPr>
      <w:r>
        <w:fldChar w:fldCharType="begin"/>
      </w:r>
      <w:r>
        <w:instrText xml:space="preserve"> HYPERLINK \l "_Toc108940937" </w:instrText>
      </w:r>
      <w:r>
        <w:fldChar w:fldCharType="separate"/>
      </w:r>
      <w:r>
        <w:rPr>
          <w:rFonts w:eastAsiaTheme="minorEastAsia"/>
          <w:kern w:val="0"/>
          <w:sz w:val="24"/>
        </w:rPr>
        <w:t>9.1</w:t>
      </w:r>
      <w:r>
        <w:rPr>
          <w:rFonts w:eastAsiaTheme="minorEastAsia"/>
          <w:kern w:val="0"/>
          <w:sz w:val="32"/>
        </w:rPr>
        <w:t xml:space="preserve">  </w:t>
      </w:r>
      <w:r>
        <w:rPr>
          <w:rFonts w:eastAsiaTheme="minorEastAsia"/>
          <w:kern w:val="0"/>
          <w:sz w:val="24"/>
        </w:rPr>
        <w:t>Lightning protection</w:t>
      </w:r>
      <w:r>
        <w:rPr>
          <w:rFonts w:asciiTheme="minorEastAsia" w:hAnsiTheme="minorEastAsia" w:eastAsiaTheme="minorEastAsia"/>
          <w:kern w:val="0"/>
          <w:sz w:val="24"/>
        </w:rPr>
        <w:tab/>
      </w:r>
      <w:r>
        <w:rPr>
          <w:rFonts w:eastAsiaTheme="minorEastAsia"/>
          <w:sz w:val="24"/>
        </w:rPr>
        <w:fldChar w:fldCharType="begin"/>
      </w:r>
      <w:r>
        <w:rPr>
          <w:rFonts w:eastAsiaTheme="minorEastAsia"/>
          <w:sz w:val="24"/>
        </w:rPr>
        <w:instrText xml:space="preserve"> PAGEREF _Toc108940937 \h </w:instrText>
      </w:r>
      <w:r>
        <w:rPr>
          <w:rFonts w:eastAsiaTheme="minorEastAsia"/>
          <w:sz w:val="24"/>
        </w:rPr>
        <w:fldChar w:fldCharType="separate"/>
      </w:r>
      <w:r>
        <w:rPr>
          <w:rFonts w:eastAsiaTheme="minorEastAsia"/>
          <w:sz w:val="24"/>
        </w:rPr>
        <w:t>27</w:t>
      </w:r>
      <w:r>
        <w:rPr>
          <w:rFonts w:eastAsiaTheme="minorEastAsia"/>
          <w:sz w:val="24"/>
        </w:rPr>
        <w:fldChar w:fldCharType="end"/>
      </w:r>
      <w:r>
        <w:rPr>
          <w:rFonts w:eastAsiaTheme="minorEastAsia"/>
          <w:sz w:val="24"/>
        </w:rPr>
        <w:fldChar w:fldCharType="end"/>
      </w:r>
    </w:p>
    <w:p>
      <w:pPr>
        <w:pStyle w:val="15"/>
        <w:tabs>
          <w:tab w:val="right" w:leader="dot" w:pos="8302"/>
        </w:tabs>
        <w:spacing w:line="480" w:lineRule="exact"/>
        <w:rPr>
          <w:rFonts w:eastAsiaTheme="minorEastAsia"/>
          <w:sz w:val="24"/>
        </w:rPr>
      </w:pPr>
      <w:r>
        <w:fldChar w:fldCharType="begin"/>
      </w:r>
      <w:r>
        <w:instrText xml:space="preserve"> HYPERLINK \l "_Toc108940938" </w:instrText>
      </w:r>
      <w:r>
        <w:fldChar w:fldCharType="separate"/>
      </w:r>
      <w:r>
        <w:rPr>
          <w:rFonts w:eastAsiaTheme="minorEastAsia"/>
          <w:kern w:val="0"/>
          <w:sz w:val="24"/>
        </w:rPr>
        <w:t>9.2  Electrostatic protection</w:t>
      </w:r>
      <w:r>
        <w:rPr>
          <w:rFonts w:asciiTheme="minorEastAsia" w:hAnsiTheme="minorEastAsia" w:eastAsiaTheme="minorEastAsia"/>
          <w:kern w:val="0"/>
          <w:sz w:val="24"/>
        </w:rPr>
        <w:tab/>
      </w:r>
      <w:r>
        <w:rPr>
          <w:rFonts w:eastAsiaTheme="minorEastAsia"/>
          <w:kern w:val="0"/>
          <w:sz w:val="24"/>
        </w:rPr>
        <w:fldChar w:fldCharType="begin"/>
      </w:r>
      <w:r>
        <w:rPr>
          <w:rFonts w:eastAsiaTheme="minorEastAsia"/>
          <w:sz w:val="24"/>
        </w:rPr>
        <w:instrText xml:space="preserve"> PAGEREF _Toc108940938 \h </w:instrText>
      </w:r>
      <w:r>
        <w:rPr>
          <w:rFonts w:eastAsiaTheme="minorEastAsia"/>
          <w:sz w:val="24"/>
        </w:rPr>
        <w:fldChar w:fldCharType="separate"/>
      </w:r>
      <w:r>
        <w:rPr>
          <w:rFonts w:eastAsiaTheme="minorEastAsia"/>
          <w:sz w:val="24"/>
        </w:rPr>
        <w:t>28</w:t>
      </w:r>
      <w:r>
        <w:rPr>
          <w:rFonts w:eastAsiaTheme="minorEastAsia"/>
          <w:sz w:val="24"/>
        </w:rPr>
        <w:fldChar w:fldCharType="end"/>
      </w:r>
      <w:r>
        <w:rPr>
          <w:rFonts w:eastAsiaTheme="minorEastAsia"/>
          <w:sz w:val="24"/>
        </w:rPr>
        <w:fldChar w:fldCharType="end"/>
      </w:r>
    </w:p>
    <w:p>
      <w:pPr>
        <w:pStyle w:val="13"/>
        <w:rPr>
          <w:rFonts w:eastAsiaTheme="minorEastAsia"/>
        </w:rPr>
      </w:pPr>
      <w:r>
        <w:fldChar w:fldCharType="begin"/>
      </w:r>
      <w:r>
        <w:instrText xml:space="preserve"> HYPERLINK \l "_Toc108940939" </w:instrText>
      </w:r>
      <w:r>
        <w:fldChar w:fldCharType="separate"/>
      </w:r>
      <w:r>
        <w:rPr>
          <w:rFonts w:eastAsiaTheme="minorEastAsia"/>
        </w:rPr>
        <w:t>10  Water supply and drainage and fire protection</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_Toc108940939 \h </w:instrText>
      </w:r>
      <w:r>
        <w:rPr>
          <w:rFonts w:eastAsiaTheme="minorEastAsia"/>
        </w:rPr>
        <w:fldChar w:fldCharType="separate"/>
      </w:r>
      <w:r>
        <w:rPr>
          <w:rFonts w:eastAsiaTheme="minorEastAsia"/>
        </w:rPr>
        <w:t>30</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"_Toc108940940" </w:instrText>
      </w:r>
      <w:r>
        <w:fldChar w:fldCharType="separate"/>
      </w:r>
      <w:r>
        <w:rPr>
          <w:rFonts w:eastAsiaTheme="minorEastAsia"/>
        </w:rPr>
        <w:t>11  Heating and ventilation</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_Toc108940940 \h </w:instrText>
      </w:r>
      <w:r>
        <w:rPr>
          <w:rFonts w:eastAsiaTheme="minorEastAsia"/>
        </w:rPr>
        <w:fldChar w:fldCharType="separate"/>
      </w:r>
      <w:r>
        <w:rPr>
          <w:rFonts w:eastAsiaTheme="minorEastAsia"/>
        </w:rPr>
        <w:t>31</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"_Toc108940941" </w:instrText>
      </w:r>
      <w:r>
        <w:fldChar w:fldCharType="separate"/>
      </w:r>
      <w:r>
        <w:rPr>
          <w:rFonts w:eastAsiaTheme="minorEastAsia"/>
        </w:rPr>
        <w:t>12  Hydrogen pipeline</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_Toc108940941 \h </w:instrText>
      </w:r>
      <w:r>
        <w:rPr>
          <w:rFonts w:eastAsiaTheme="minorEastAsia"/>
        </w:rPr>
        <w:fldChar w:fldCharType="separate"/>
      </w:r>
      <w:r>
        <w:rPr>
          <w:rFonts w:eastAsiaTheme="minorEastAsia"/>
        </w:rPr>
        <w:t>32</w:t>
      </w:r>
      <w:r>
        <w:rPr>
          <w:rFonts w:eastAsiaTheme="minorEastAsia"/>
        </w:rPr>
        <w:fldChar w:fldCharType="end"/>
      </w:r>
      <w:r>
        <w:rPr>
          <w:rFonts w:eastAsiaTheme="minorEastAsia"/>
        </w:rPr>
        <w:fldChar w:fldCharType="end"/>
      </w:r>
    </w:p>
    <w:p>
      <w:pPr>
        <w:pStyle w:val="15"/>
        <w:tabs>
          <w:tab w:val="right" w:leader="dot" w:pos="8302"/>
        </w:tabs>
        <w:spacing w:line="480" w:lineRule="exact"/>
        <w:rPr>
          <w:rFonts w:eastAsiaTheme="minorEastAsia"/>
          <w:kern w:val="0"/>
          <w:sz w:val="24"/>
        </w:rPr>
      </w:pPr>
      <w:r>
        <w:fldChar w:fldCharType="begin"/>
      </w:r>
      <w:r>
        <w:instrText xml:space="preserve"> HYPERLINK \l "_Toc108940942" </w:instrText>
      </w:r>
      <w:r>
        <w:fldChar w:fldCharType="separate"/>
      </w:r>
      <w:r>
        <w:rPr>
          <w:rFonts w:eastAsiaTheme="minorEastAsia"/>
          <w:kern w:val="0"/>
          <w:sz w:val="24"/>
        </w:rPr>
        <w:t>12.1  General requirements</w:t>
      </w:r>
      <w:r>
        <w:rPr>
          <w:rFonts w:asciiTheme="minorEastAsia" w:hAnsiTheme="minorEastAsia" w:eastAsiaTheme="minorEastAsia"/>
          <w:kern w:val="0"/>
          <w:sz w:val="24"/>
        </w:rPr>
        <w:tab/>
      </w:r>
      <w:r>
        <w:rPr>
          <w:rFonts w:eastAsiaTheme="minorEastAsia"/>
          <w:kern w:val="0"/>
          <w:sz w:val="24"/>
        </w:rPr>
        <w:fldChar w:fldCharType="begin"/>
      </w:r>
      <w:r>
        <w:rPr>
          <w:rFonts w:eastAsiaTheme="minorEastAsia"/>
          <w:kern w:val="0"/>
          <w:sz w:val="24"/>
        </w:rPr>
        <w:instrText xml:space="preserve"> PAGEREF _Toc108940942 \h </w:instrText>
      </w:r>
      <w:r>
        <w:rPr>
          <w:rFonts w:eastAsiaTheme="minorEastAsia"/>
          <w:kern w:val="0"/>
          <w:sz w:val="24"/>
        </w:rPr>
        <w:fldChar w:fldCharType="separate"/>
      </w:r>
      <w:r>
        <w:rPr>
          <w:rFonts w:eastAsiaTheme="minorEastAsia"/>
          <w:kern w:val="0"/>
          <w:sz w:val="24"/>
        </w:rPr>
        <w:t>32</w:t>
      </w:r>
      <w:r>
        <w:rPr>
          <w:rFonts w:eastAsiaTheme="minorEastAsia"/>
          <w:kern w:val="0"/>
          <w:sz w:val="24"/>
        </w:rPr>
        <w:fldChar w:fldCharType="end"/>
      </w:r>
      <w:r>
        <w:rPr>
          <w:rFonts w:eastAsiaTheme="minorEastAsia"/>
          <w:kern w:val="0"/>
          <w:sz w:val="24"/>
        </w:rPr>
        <w:fldChar w:fldCharType="end"/>
      </w:r>
    </w:p>
    <w:p>
      <w:pPr>
        <w:pStyle w:val="15"/>
        <w:tabs>
          <w:tab w:val="right" w:leader="dot" w:pos="8302"/>
        </w:tabs>
        <w:spacing w:line="480" w:lineRule="exact"/>
        <w:rPr>
          <w:rFonts w:eastAsiaTheme="minorEastAsia"/>
          <w:kern w:val="0"/>
          <w:sz w:val="24"/>
        </w:rPr>
      </w:pPr>
      <w:r>
        <w:fldChar w:fldCharType="begin"/>
      </w:r>
      <w:r>
        <w:instrText xml:space="preserve"> HYPERLINK \l "_Toc108940943" </w:instrText>
      </w:r>
      <w:r>
        <w:fldChar w:fldCharType="separate"/>
      </w:r>
      <w:r>
        <w:rPr>
          <w:rFonts w:eastAsiaTheme="minorEastAsia"/>
          <w:kern w:val="0"/>
          <w:sz w:val="24"/>
        </w:rPr>
        <w:t>12.2  Hydrogen pipelines and components</w:t>
      </w:r>
      <w:r>
        <w:rPr>
          <w:rFonts w:asciiTheme="minorEastAsia" w:hAnsiTheme="minorEastAsia" w:eastAsiaTheme="minorEastAsia"/>
          <w:kern w:val="0"/>
          <w:sz w:val="24"/>
        </w:rPr>
        <w:tab/>
      </w:r>
      <w:r>
        <w:rPr>
          <w:rFonts w:eastAsiaTheme="minorEastAsia"/>
          <w:kern w:val="0"/>
          <w:sz w:val="24"/>
        </w:rPr>
        <w:fldChar w:fldCharType="begin"/>
      </w:r>
      <w:r>
        <w:rPr>
          <w:rFonts w:eastAsiaTheme="minorEastAsia"/>
          <w:kern w:val="0"/>
          <w:sz w:val="24"/>
        </w:rPr>
        <w:instrText xml:space="preserve"> PAGEREF _Toc108940943 \h </w:instrText>
      </w:r>
      <w:r>
        <w:rPr>
          <w:rFonts w:eastAsiaTheme="minorEastAsia"/>
          <w:kern w:val="0"/>
          <w:sz w:val="24"/>
        </w:rPr>
        <w:fldChar w:fldCharType="separate"/>
      </w:r>
      <w:r>
        <w:rPr>
          <w:rFonts w:eastAsiaTheme="minorEastAsia"/>
          <w:kern w:val="0"/>
          <w:sz w:val="24"/>
        </w:rPr>
        <w:t>35</w:t>
      </w:r>
      <w:r>
        <w:rPr>
          <w:rFonts w:eastAsiaTheme="minorEastAsia"/>
          <w:kern w:val="0"/>
          <w:sz w:val="24"/>
        </w:rPr>
        <w:fldChar w:fldCharType="end"/>
      </w:r>
      <w:r>
        <w:rPr>
          <w:rFonts w:eastAsiaTheme="minorEastAsia"/>
          <w:kern w:val="0"/>
          <w:sz w:val="24"/>
        </w:rPr>
        <w:fldChar w:fldCharType="end"/>
      </w:r>
    </w:p>
    <w:p>
      <w:pPr>
        <w:pStyle w:val="15"/>
        <w:tabs>
          <w:tab w:val="right" w:leader="dot" w:pos="8302"/>
        </w:tabs>
        <w:spacing w:line="480" w:lineRule="exact"/>
        <w:rPr>
          <w:rFonts w:eastAsiaTheme="minorEastAsia"/>
          <w:kern w:val="0"/>
          <w:sz w:val="24"/>
        </w:rPr>
      </w:pPr>
      <w:r>
        <w:fldChar w:fldCharType="begin"/>
      </w:r>
      <w:r>
        <w:instrText xml:space="preserve"> HYPERLINK \l "_Toc108940944" </w:instrText>
      </w:r>
      <w:r>
        <w:fldChar w:fldCharType="separate"/>
      </w:r>
      <w:r>
        <w:rPr>
          <w:rFonts w:eastAsiaTheme="minorEastAsia"/>
          <w:kern w:val="0"/>
          <w:sz w:val="24"/>
        </w:rPr>
        <w:t>12.3  Liquid hydrogen and cold gaseous hydrogen pipeline and components</w:t>
      </w:r>
      <w:r>
        <w:rPr>
          <w:rFonts w:eastAsiaTheme="minorEastAsia"/>
          <w:kern w:val="0"/>
          <w:sz w:val="24"/>
        </w:rPr>
        <w:tab/>
      </w:r>
      <w:r>
        <w:rPr>
          <w:rFonts w:eastAsiaTheme="minorEastAsia"/>
          <w:kern w:val="0"/>
          <w:sz w:val="24"/>
        </w:rPr>
        <w:fldChar w:fldCharType="begin"/>
      </w:r>
      <w:r>
        <w:rPr>
          <w:rFonts w:eastAsiaTheme="minorEastAsia"/>
          <w:kern w:val="0"/>
          <w:sz w:val="24"/>
        </w:rPr>
        <w:instrText xml:space="preserve"> PAGEREF _Toc108940944 \h </w:instrText>
      </w:r>
      <w:r>
        <w:rPr>
          <w:rFonts w:eastAsiaTheme="minorEastAsia"/>
          <w:kern w:val="0"/>
          <w:sz w:val="24"/>
        </w:rPr>
        <w:fldChar w:fldCharType="separate"/>
      </w:r>
      <w:r>
        <w:rPr>
          <w:rFonts w:eastAsiaTheme="minorEastAsia"/>
          <w:kern w:val="0"/>
          <w:sz w:val="24"/>
        </w:rPr>
        <w:t>38</w:t>
      </w:r>
      <w:r>
        <w:rPr>
          <w:rFonts w:eastAsiaTheme="minorEastAsia"/>
          <w:kern w:val="0"/>
          <w:sz w:val="24"/>
        </w:rPr>
        <w:fldChar w:fldCharType="end"/>
      </w:r>
      <w:r>
        <w:rPr>
          <w:rFonts w:eastAsiaTheme="minorEastAsia"/>
          <w:kern w:val="0"/>
          <w:sz w:val="24"/>
        </w:rPr>
        <w:fldChar w:fldCharType="end"/>
      </w:r>
    </w:p>
    <w:p>
      <w:pPr>
        <w:pStyle w:val="15"/>
        <w:tabs>
          <w:tab w:val="right" w:leader="dot" w:pos="8302"/>
        </w:tabs>
        <w:spacing w:line="480" w:lineRule="exact"/>
        <w:rPr>
          <w:rFonts w:eastAsiaTheme="minorEastAsia"/>
          <w:kern w:val="0"/>
          <w:sz w:val="24"/>
        </w:rPr>
      </w:pPr>
      <w:r>
        <w:fldChar w:fldCharType="begin"/>
      </w:r>
      <w:r>
        <w:instrText xml:space="preserve"> HYPERLINK \l "_Toc108940945" </w:instrText>
      </w:r>
      <w:r>
        <w:fldChar w:fldCharType="separate"/>
      </w:r>
      <w:r>
        <w:rPr>
          <w:rFonts w:eastAsiaTheme="minorEastAsia"/>
          <w:kern w:val="0"/>
          <w:sz w:val="24"/>
        </w:rPr>
        <w:t>12.4  Pipelines between the site boundary and off-site</w:t>
      </w:r>
      <w:r>
        <w:rPr>
          <w:rFonts w:asciiTheme="minorEastAsia" w:hAnsiTheme="minorEastAsia" w:eastAsiaTheme="minorEastAsia"/>
          <w:kern w:val="0"/>
          <w:sz w:val="24"/>
        </w:rPr>
        <w:tab/>
      </w:r>
      <w:r>
        <w:rPr>
          <w:rFonts w:eastAsiaTheme="minorEastAsia"/>
          <w:kern w:val="0"/>
          <w:sz w:val="24"/>
        </w:rPr>
        <w:fldChar w:fldCharType="begin"/>
      </w:r>
      <w:r>
        <w:rPr>
          <w:rFonts w:eastAsiaTheme="minorEastAsia"/>
          <w:kern w:val="0"/>
          <w:sz w:val="24"/>
        </w:rPr>
        <w:instrText xml:space="preserve"> PAGEREF _Toc108940945 \h </w:instrText>
      </w:r>
      <w:r>
        <w:rPr>
          <w:rFonts w:eastAsiaTheme="minorEastAsia"/>
          <w:kern w:val="0"/>
          <w:sz w:val="24"/>
        </w:rPr>
        <w:fldChar w:fldCharType="separate"/>
      </w:r>
      <w:r>
        <w:rPr>
          <w:rFonts w:eastAsiaTheme="minorEastAsia"/>
          <w:kern w:val="0"/>
          <w:sz w:val="24"/>
        </w:rPr>
        <w:t>39</w:t>
      </w:r>
      <w:r>
        <w:rPr>
          <w:rFonts w:eastAsiaTheme="minorEastAsia"/>
          <w:kern w:val="0"/>
          <w:sz w:val="24"/>
        </w:rPr>
        <w:fldChar w:fldCharType="end"/>
      </w:r>
      <w:r>
        <w:rPr>
          <w:rFonts w:eastAsiaTheme="minorEastAsia"/>
          <w:kern w:val="0"/>
          <w:sz w:val="24"/>
        </w:rPr>
        <w:fldChar w:fldCharType="end"/>
      </w:r>
    </w:p>
    <w:p>
      <w:pPr>
        <w:pStyle w:val="13"/>
        <w:rPr>
          <w:rFonts w:eastAsiaTheme="minorEastAsia"/>
        </w:rPr>
      </w:pPr>
      <w:r>
        <w:fldChar w:fldCharType="begin"/>
      </w:r>
      <w:r>
        <w:instrText xml:space="preserve"> HYPERLINK \l "_Toc108940946" </w:instrText>
      </w:r>
      <w:r>
        <w:fldChar w:fldCharType="separate"/>
      </w:r>
      <w:r>
        <w:rPr>
          <w:rFonts w:eastAsiaTheme="minorEastAsia"/>
        </w:rPr>
        <w:t>Appendix A  Zones of rating for explosion danger in hydrogen station</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_Toc108940946 \h </w:instrText>
      </w:r>
      <w:r>
        <w:rPr>
          <w:rFonts w:eastAsiaTheme="minorEastAsia"/>
        </w:rPr>
        <w:fldChar w:fldCharType="separate"/>
      </w:r>
      <w:r>
        <w:rPr>
          <w:rFonts w:eastAsiaTheme="minorEastAsia"/>
        </w:rPr>
        <w:t>41</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"_Toc108940947" </w:instrText>
      </w:r>
      <w:r>
        <w:fldChar w:fldCharType="separate"/>
      </w:r>
      <w:r>
        <w:rPr>
          <w:rFonts w:eastAsiaTheme="minorEastAsia"/>
        </w:rPr>
        <w:t>Appendix B  Minimum distance between indoor overhead hydrogen pipelines and other indoor overhead pipelines</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_Toc108940947 \h </w:instrText>
      </w:r>
      <w:r>
        <w:rPr>
          <w:rFonts w:eastAsiaTheme="minorEastAsia"/>
        </w:rPr>
        <w:fldChar w:fldCharType="separate"/>
      </w:r>
      <w:r>
        <w:rPr>
          <w:rFonts w:eastAsiaTheme="minorEastAsia"/>
        </w:rPr>
        <w:t>43</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"_Toc108940948" </w:instrText>
      </w:r>
      <w:r>
        <w:fldChar w:fldCharType="separate"/>
      </w:r>
      <w:r>
        <w:rPr>
          <w:rFonts w:eastAsiaTheme="minorEastAsia"/>
        </w:rPr>
        <w:t>Appendix C  Minimum distance between outdoor overhead hydrogen pipelines and buildings and structures</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_Toc108940948 \h </w:instrText>
      </w:r>
      <w:r>
        <w:rPr>
          <w:rFonts w:eastAsiaTheme="minorEastAsia"/>
        </w:rPr>
        <w:fldChar w:fldCharType="separate"/>
      </w:r>
      <w:r>
        <w:rPr>
          <w:rFonts w:eastAsiaTheme="minorEastAsia"/>
        </w:rPr>
        <w:t>44</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"_Toc108940949" </w:instrText>
      </w:r>
      <w:r>
        <w:fldChar w:fldCharType="separate"/>
      </w:r>
      <w:r>
        <w:rPr>
          <w:rFonts w:eastAsiaTheme="minorEastAsia"/>
        </w:rPr>
        <w:t xml:space="preserve">Appendix D  </w:t>
      </w:r>
      <w:r>
        <w:rPr>
          <w:rFonts w:eastAsiaTheme="minorEastAsia"/>
        </w:rPr>
        <w:fldChar w:fldCharType="end"/>
      </w:r>
      <w:r>
        <w:fldChar w:fldCharType="begin"/>
      </w:r>
      <w:r>
        <w:instrText xml:space="preserve"> HYPERLINK \l "_Toc108940950" </w:instrText>
      </w:r>
      <w:r>
        <w:fldChar w:fldCharType="separate"/>
      </w:r>
      <w:r>
        <w:rPr>
          <w:rFonts w:eastAsiaTheme="minorEastAsia"/>
        </w:rPr>
        <w:t>Minimum distance between outdoor directly buried hydrogen pipelines and other buried pipelines, buildings and structures</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_Toc108940950 \h </w:instrText>
      </w:r>
      <w:r>
        <w:rPr>
          <w:rFonts w:eastAsiaTheme="minorEastAsia"/>
        </w:rPr>
        <w:fldChar w:fldCharType="separate"/>
      </w:r>
      <w:r>
        <w:rPr>
          <w:rFonts w:eastAsiaTheme="minorEastAsia"/>
        </w:rPr>
        <w:t>45</w:t>
      </w:r>
      <w:r>
        <w:rPr>
          <w:rFonts w:eastAsiaTheme="minorEastAsia"/>
        </w:rPr>
        <w:fldChar w:fldCharType="end"/>
      </w:r>
      <w:r>
        <w:rPr>
          <w:rFonts w:eastAsiaTheme="minorEastAsia"/>
        </w:rPr>
        <w:fldChar w:fldCharType="end"/>
      </w:r>
    </w:p>
    <w:p>
      <w:pPr>
        <w:pStyle w:val="13"/>
        <w:rPr>
          <w:rFonts w:eastAsiaTheme="minorEastAsia"/>
        </w:rPr>
      </w:pPr>
      <w:r>
        <w:fldChar w:fldCharType="begin"/>
      </w:r>
      <w:r>
        <w:instrText xml:space="preserve"> HYPERLINK \l "_Toc108940951" </w:instrText>
      </w:r>
      <w:r>
        <w:fldChar w:fldCharType="separate"/>
      </w:r>
      <w:r>
        <w:rPr>
          <w:rFonts w:eastAsiaTheme="minorEastAsia"/>
        </w:rPr>
        <w:t>Appendix E  Erosion rate of hydrogen</w:t>
      </w:r>
      <w:r>
        <w:rPr>
          <w:rFonts w:asciiTheme="minorEastAsia" w:hAnsiTheme="minorEastAsia" w:eastAsiaTheme="minorEastAsia"/>
        </w:rPr>
        <w:tab/>
      </w:r>
      <w:r>
        <w:rPr>
          <w:rFonts w:eastAsiaTheme="minorEastAsia"/>
        </w:rPr>
        <w:fldChar w:fldCharType="begin"/>
      </w:r>
      <w:r>
        <w:rPr>
          <w:rFonts w:eastAsiaTheme="minorEastAsia"/>
        </w:rPr>
        <w:instrText xml:space="preserve"> PAGEREF _Toc108940951 \h </w:instrText>
      </w:r>
      <w:r>
        <w:rPr>
          <w:rFonts w:eastAsiaTheme="minorEastAsia"/>
        </w:rPr>
        <w:fldChar w:fldCharType="separate"/>
      </w:r>
      <w:r>
        <w:rPr>
          <w:rFonts w:eastAsiaTheme="minorEastAsia"/>
        </w:rPr>
        <w:t>47</w:t>
      </w:r>
      <w:r>
        <w:rPr>
          <w:rFonts w:eastAsiaTheme="minorEastAsia"/>
        </w:rPr>
        <w:fldChar w:fldCharType="end"/>
      </w:r>
      <w:r>
        <w:rPr>
          <w:rFonts w:eastAsiaTheme="minorEastAsia"/>
        </w:rPr>
        <w:fldChar w:fldCharType="end"/>
      </w:r>
    </w:p>
    <w:p>
      <w:pPr>
        <w:spacing w:line="360" w:lineRule="auto"/>
        <w:rPr>
          <w:sz w:val="28"/>
        </w:rPr>
      </w:pPr>
    </w:p>
    <w:p>
      <w:pPr>
        <w:spacing w:line="480" w:lineRule="atLeast"/>
        <w:ind w:left="570"/>
        <w:jc w:val="center"/>
        <w:rPr>
          <w:sz w:val="28"/>
        </w:rPr>
        <w:sectPr>
          <w:pgSz w:w="11906" w:h="16838"/>
          <w:pgMar w:top="1440" w:right="1797" w:bottom="1440" w:left="1797" w:header="851" w:footer="992" w:gutter="0"/>
          <w:pgNumType w:start="1"/>
          <w:cols w:space="425" w:num="1"/>
          <w:docGrid w:linePitch="312" w:charSpace="0"/>
        </w:sectPr>
      </w:pPr>
    </w:p>
    <w:p>
      <w:pPr>
        <w:spacing w:line="480" w:lineRule="atLeast"/>
        <w:jc w:val="center"/>
        <w:outlineLvl w:val="0"/>
        <w:rPr>
          <w:sz w:val="30"/>
        </w:rPr>
      </w:pPr>
      <w:bookmarkStart w:id="5" w:name="_Toc108940928"/>
      <w:r>
        <w:rPr>
          <w:sz w:val="30"/>
        </w:rPr>
        <w:t>1 总  则</w:t>
      </w:r>
      <w:bookmarkEnd w:id="5"/>
    </w:p>
    <w:p>
      <w:pPr>
        <w:spacing w:line="480" w:lineRule="atLeast"/>
        <w:ind w:left="570"/>
        <w:jc w:val="center"/>
        <w:rPr>
          <w:sz w:val="28"/>
        </w:rPr>
      </w:pPr>
    </w:p>
    <w:p>
      <w:pPr>
        <w:pStyle w:val="8"/>
        <w:ind w:firstLine="0" w:firstLineChars="0"/>
        <w:rPr>
          <w:sz w:val="24"/>
        </w:rPr>
      </w:pPr>
      <w:r>
        <w:rPr>
          <w:sz w:val="24"/>
        </w:rPr>
        <w:t>1.0.1  为在氢气站、供氢站的建设过程中贯彻国家工程建设的方针政策，确保安全生产，节约能源，保护环境，满足生产要求，做到技术先进，经济合理，制定本</w:t>
      </w:r>
      <w:r>
        <w:rPr>
          <w:rFonts w:hint="eastAsia"/>
          <w:sz w:val="24"/>
        </w:rPr>
        <w:t>标准</w:t>
      </w:r>
      <w:r>
        <w:rPr>
          <w:sz w:val="24"/>
        </w:rPr>
        <w:t>。</w:t>
      </w:r>
    </w:p>
    <w:p>
      <w:pPr>
        <w:spacing w:line="480" w:lineRule="atLeast"/>
        <w:rPr>
          <w:sz w:val="24"/>
        </w:rPr>
      </w:pPr>
      <w:r>
        <w:rPr>
          <w:sz w:val="24"/>
        </w:rPr>
        <w:t>1.0.2  本</w:t>
      </w:r>
      <w:r>
        <w:rPr>
          <w:rFonts w:hint="eastAsia"/>
          <w:sz w:val="24"/>
        </w:rPr>
        <w:t>标准</w:t>
      </w:r>
      <w:r>
        <w:rPr>
          <w:sz w:val="24"/>
        </w:rPr>
        <w:t>适用于新建、改建、扩建的氢气站、供氢站和氢输送管道的设计。</w:t>
      </w:r>
    </w:p>
    <w:p>
      <w:pPr>
        <w:spacing w:line="480" w:lineRule="atLeast"/>
        <w:rPr>
          <w:rFonts w:eastAsia="黑体"/>
          <w:sz w:val="24"/>
        </w:rPr>
      </w:pPr>
      <w:r>
        <w:rPr>
          <w:sz w:val="24"/>
        </w:rPr>
        <w:t xml:space="preserve">1.0.3  </w:t>
      </w:r>
      <w:r>
        <w:rPr>
          <w:rFonts w:eastAsia="黑体"/>
          <w:sz w:val="24"/>
        </w:rPr>
        <w:t>氢气站、供氢站的生产火灾危险性类别，应为“甲”类。</w:t>
      </w:r>
    </w:p>
    <w:p>
      <w:pPr>
        <w:spacing w:line="480" w:lineRule="atLeast"/>
        <w:ind w:firstLine="480" w:firstLineChars="200"/>
        <w:rPr>
          <w:rFonts w:eastAsia="黑体"/>
          <w:sz w:val="24"/>
        </w:rPr>
      </w:pPr>
      <w:r>
        <w:rPr>
          <w:rFonts w:eastAsia="黑体"/>
          <w:sz w:val="24"/>
        </w:rPr>
        <w:t>氢气站、供氢站内有爆炸危险房间或场所的爆炸危险等级应划分为1区或2区，并应符合本</w:t>
      </w:r>
      <w:r>
        <w:rPr>
          <w:rFonts w:hint="eastAsia"/>
          <w:b/>
          <w:sz w:val="24"/>
        </w:rPr>
        <w:t>标准</w:t>
      </w:r>
      <w:r>
        <w:rPr>
          <w:rFonts w:eastAsia="黑体"/>
          <w:sz w:val="24"/>
        </w:rPr>
        <w:t>附录A的规定。</w:t>
      </w:r>
    </w:p>
    <w:p>
      <w:pPr>
        <w:spacing w:line="480" w:lineRule="atLeast"/>
        <w:rPr>
          <w:sz w:val="24"/>
        </w:rPr>
      </w:pPr>
      <w:r>
        <w:rPr>
          <w:sz w:val="24"/>
        </w:rPr>
        <w:t>1.0.4  氢气站、供氢站和氢</w:t>
      </w:r>
      <w:r>
        <w:rPr>
          <w:rFonts w:hint="eastAsia"/>
          <w:sz w:val="24"/>
        </w:rPr>
        <w:t>输送</w:t>
      </w:r>
      <w:r>
        <w:rPr>
          <w:sz w:val="24"/>
        </w:rPr>
        <w:t>管道的设计，除应执行本</w:t>
      </w:r>
      <w:r>
        <w:rPr>
          <w:rFonts w:hint="eastAsia"/>
          <w:sz w:val="24"/>
        </w:rPr>
        <w:t>标准</w:t>
      </w:r>
      <w:r>
        <w:rPr>
          <w:sz w:val="24"/>
        </w:rPr>
        <w:t>外，还应符合国家现行有关标准的规定。</w:t>
      </w:r>
    </w:p>
    <w:p>
      <w:pPr>
        <w:spacing w:line="480" w:lineRule="atLeast"/>
        <w:rPr>
          <w:sz w:val="28"/>
        </w:rPr>
      </w:pPr>
    </w:p>
    <w:p>
      <w:pPr>
        <w:spacing w:line="480" w:lineRule="atLeast"/>
        <w:jc w:val="center"/>
        <w:outlineLvl w:val="0"/>
        <w:rPr>
          <w:sz w:val="30"/>
        </w:rPr>
      </w:pPr>
      <w:r>
        <w:rPr>
          <w:sz w:val="28"/>
        </w:rPr>
        <w:br w:type="page"/>
      </w:r>
      <w:bookmarkStart w:id="6" w:name="_Toc108940929"/>
      <w:r>
        <w:rPr>
          <w:sz w:val="30"/>
        </w:rPr>
        <w:t>2 术  语</w:t>
      </w:r>
      <w:bookmarkEnd w:id="6"/>
    </w:p>
    <w:p>
      <w:pPr>
        <w:spacing w:line="480" w:lineRule="atLeast"/>
        <w:ind w:left="570"/>
        <w:jc w:val="center"/>
        <w:rPr>
          <w:sz w:val="28"/>
        </w:rPr>
      </w:pPr>
    </w:p>
    <w:p>
      <w:pPr>
        <w:spacing w:line="480" w:lineRule="atLeast"/>
        <w:rPr>
          <w:sz w:val="24"/>
        </w:rPr>
      </w:pPr>
      <w:r>
        <w:rPr>
          <w:sz w:val="24"/>
        </w:rPr>
        <w:t>2.0.1  氢气站  hydrogen station</w:t>
      </w:r>
    </w:p>
    <w:p>
      <w:pPr>
        <w:spacing w:line="480" w:lineRule="atLeast"/>
        <w:ind w:firstLine="480" w:firstLineChars="200"/>
        <w:rPr>
          <w:sz w:val="24"/>
        </w:rPr>
      </w:pPr>
      <w:r>
        <w:rPr>
          <w:sz w:val="24"/>
        </w:rPr>
        <w:t>采用相关的工艺（如水电解，天然气转化气、甲醇转化气、煤制气等为原料气的变压吸附等）制取氢气所需的工艺设施、灌充设施、压缩、液化和储存设施、辅助设施及其建筑物、构筑物或场所的统称。</w:t>
      </w:r>
    </w:p>
    <w:p>
      <w:pPr>
        <w:spacing w:line="480" w:lineRule="atLeast"/>
        <w:rPr>
          <w:sz w:val="24"/>
        </w:rPr>
      </w:pPr>
      <w:r>
        <w:rPr>
          <w:sz w:val="24"/>
        </w:rPr>
        <w:t>2.0.2  供氢站  hydrogen supply station</w:t>
      </w:r>
    </w:p>
    <w:p>
      <w:pPr>
        <w:spacing w:line="480" w:lineRule="atLeast"/>
        <w:ind w:firstLine="480" w:firstLineChars="200"/>
        <w:rPr>
          <w:sz w:val="24"/>
        </w:rPr>
      </w:pPr>
      <w:r>
        <w:rPr>
          <w:sz w:val="24"/>
        </w:rPr>
        <w:t>不含氢气发生设备，</w:t>
      </w:r>
      <w:r>
        <w:rPr>
          <w:rFonts w:hint="eastAsia"/>
          <w:sz w:val="24"/>
        </w:rPr>
        <w:t>供应</w:t>
      </w:r>
      <w:r>
        <w:rPr>
          <w:sz w:val="24"/>
        </w:rPr>
        <w:t>气态或液态氢的建筑物、构筑物或场所的统称。</w:t>
      </w:r>
    </w:p>
    <w:p>
      <w:pPr>
        <w:spacing w:line="480" w:lineRule="atLeast"/>
        <w:rPr>
          <w:sz w:val="24"/>
        </w:rPr>
      </w:pPr>
      <w:r>
        <w:rPr>
          <w:sz w:val="24"/>
        </w:rPr>
        <w:t>2.0.3  固定式储氢压力容器  stationary pressure vessels for storage of hydrogen</w:t>
      </w:r>
    </w:p>
    <w:p>
      <w:pPr>
        <w:spacing w:line="480" w:lineRule="atLeast"/>
        <w:ind w:firstLine="480" w:firstLineChars="200"/>
        <w:rPr>
          <w:sz w:val="24"/>
        </w:rPr>
      </w:pPr>
      <w:r>
        <w:rPr>
          <w:sz w:val="24"/>
        </w:rPr>
        <w:t>固定安装、用于储存氢的压力容器，包括氢气储存压力容器、液氢容器和固态储氢压力容器，简称为储氢容器。</w:t>
      </w:r>
    </w:p>
    <w:p>
      <w:pPr>
        <w:spacing w:line="480" w:lineRule="atLeast"/>
        <w:rPr>
          <w:sz w:val="24"/>
        </w:rPr>
      </w:pPr>
      <w:r>
        <w:rPr>
          <w:sz w:val="24"/>
        </w:rPr>
        <w:t>2.0.4  氢气储存压力容器  pressure vessels for storage of gaseous hydrogen</w:t>
      </w:r>
    </w:p>
    <w:p>
      <w:pPr>
        <w:spacing w:line="480" w:lineRule="atLeast"/>
        <w:ind w:firstLine="480" w:firstLineChars="200"/>
        <w:rPr>
          <w:sz w:val="24"/>
        </w:rPr>
      </w:pPr>
      <w:r>
        <w:rPr>
          <w:sz w:val="24"/>
        </w:rPr>
        <w:t>用于储存气态氢的压力容器，包括必要的安全附件及压力检测、显示仪器等。</w:t>
      </w:r>
    </w:p>
    <w:p>
      <w:pPr>
        <w:spacing w:line="480" w:lineRule="atLeast"/>
        <w:rPr>
          <w:sz w:val="24"/>
        </w:rPr>
      </w:pPr>
      <w:r>
        <w:rPr>
          <w:sz w:val="24"/>
        </w:rPr>
        <w:t xml:space="preserve">2.0.5  </w:t>
      </w:r>
      <w:r>
        <w:rPr>
          <w:rFonts w:hint="eastAsia"/>
          <w:sz w:val="24"/>
        </w:rPr>
        <w:t>储氢</w:t>
      </w:r>
      <w:r>
        <w:rPr>
          <w:sz w:val="24"/>
        </w:rPr>
        <w:t>瓶</w:t>
      </w:r>
      <w:r>
        <w:rPr>
          <w:rFonts w:hint="eastAsia"/>
          <w:sz w:val="24"/>
        </w:rPr>
        <w:t>组</w:t>
      </w:r>
      <w:r>
        <w:rPr>
          <w:sz w:val="24"/>
        </w:rPr>
        <w:t xml:space="preserve">  cylinder assembiles for storage of gaseous hydrogen</w:t>
      </w:r>
    </w:p>
    <w:p>
      <w:pPr>
        <w:spacing w:line="480" w:lineRule="atLeast"/>
        <w:ind w:firstLine="480" w:firstLineChars="200"/>
        <w:rPr>
          <w:sz w:val="24"/>
        </w:rPr>
      </w:pPr>
      <w:r>
        <w:rPr>
          <w:sz w:val="24"/>
        </w:rPr>
        <w:t>由若干个瓶式氢气储存压力容器组装成整体的氢气储存设施，包括相应的连接管道、阀门、安全附件等。</w:t>
      </w:r>
    </w:p>
    <w:p>
      <w:pPr>
        <w:spacing w:line="480" w:lineRule="atLeast"/>
        <w:rPr>
          <w:sz w:val="24"/>
        </w:rPr>
      </w:pPr>
      <w:r>
        <w:rPr>
          <w:sz w:val="24"/>
        </w:rPr>
        <w:t>2.0.6  液氢容器  vessels for storage of liquid hydrogen</w:t>
      </w:r>
    </w:p>
    <w:p>
      <w:pPr>
        <w:spacing w:line="480" w:lineRule="atLeast"/>
        <w:ind w:firstLine="480" w:firstLineChars="200"/>
        <w:rPr>
          <w:sz w:val="24"/>
        </w:rPr>
      </w:pPr>
      <w:r>
        <w:rPr>
          <w:sz w:val="24"/>
        </w:rPr>
        <w:t>用于储存液氢的压力容器，包括绝热系统，必要的安全装置及压力、液位显示仪等</w:t>
      </w:r>
      <w:r>
        <w:rPr>
          <w:rFonts w:hint="eastAsia"/>
          <w:sz w:val="24"/>
        </w:rPr>
        <w:t>，</w:t>
      </w:r>
      <w:r>
        <w:rPr>
          <w:sz w:val="24"/>
        </w:rPr>
        <w:t>也称液氢储罐。</w:t>
      </w:r>
    </w:p>
    <w:p>
      <w:pPr>
        <w:spacing w:line="480" w:lineRule="atLeast"/>
        <w:rPr>
          <w:sz w:val="24"/>
        </w:rPr>
      </w:pPr>
      <w:r>
        <w:rPr>
          <w:sz w:val="24"/>
        </w:rPr>
        <w:t>2.0.7  液氢罐车  liquid hydrogen lorry truck</w:t>
      </w:r>
    </w:p>
    <w:p>
      <w:pPr>
        <w:spacing w:line="480" w:lineRule="atLeast"/>
        <w:ind w:firstLine="480" w:firstLineChars="200"/>
        <w:rPr>
          <w:sz w:val="24"/>
        </w:rPr>
      </w:pPr>
      <w:r>
        <w:rPr>
          <w:sz w:val="24"/>
        </w:rPr>
        <w:t>配置液氢</w:t>
      </w:r>
      <w:r>
        <w:rPr>
          <w:rFonts w:hint="eastAsia"/>
          <w:sz w:val="24"/>
        </w:rPr>
        <w:t>容器</w:t>
      </w:r>
      <w:r>
        <w:rPr>
          <w:sz w:val="24"/>
        </w:rPr>
        <w:t>的运输车辆，配带相应的连接管道、阀门、安全附件等。</w:t>
      </w:r>
    </w:p>
    <w:p>
      <w:pPr>
        <w:spacing w:line="480" w:lineRule="atLeast"/>
        <w:rPr>
          <w:sz w:val="24"/>
        </w:rPr>
      </w:pPr>
      <w:r>
        <w:rPr>
          <w:sz w:val="24"/>
        </w:rPr>
        <w:t>2.0.8  液氢罐式集装箱  tank containers for liquid hydrogen</w:t>
      </w:r>
    </w:p>
    <w:p>
      <w:pPr>
        <w:spacing w:line="480" w:lineRule="atLeast"/>
        <w:ind w:firstLine="480" w:firstLineChars="200"/>
        <w:rPr>
          <w:sz w:val="24"/>
        </w:rPr>
      </w:pPr>
      <w:r>
        <w:rPr>
          <w:sz w:val="24"/>
        </w:rPr>
        <w:t>配置液氢</w:t>
      </w:r>
      <w:r>
        <w:rPr>
          <w:rFonts w:hint="eastAsia"/>
          <w:sz w:val="24"/>
        </w:rPr>
        <w:t>容器</w:t>
      </w:r>
      <w:r>
        <w:rPr>
          <w:sz w:val="24"/>
        </w:rPr>
        <w:t>的罐式集装箱，配带相应的连接管道、阀门、安全附件等。</w:t>
      </w:r>
    </w:p>
    <w:p>
      <w:pPr>
        <w:spacing w:line="480" w:lineRule="atLeast"/>
        <w:rPr>
          <w:sz w:val="24"/>
        </w:rPr>
      </w:pPr>
      <w:r>
        <w:rPr>
          <w:sz w:val="24"/>
        </w:rPr>
        <w:t>2.0.9  氢气管束式集装箱  tube skid container for gaseous hydrogen</w:t>
      </w:r>
    </w:p>
    <w:p>
      <w:pPr>
        <w:spacing w:line="480" w:lineRule="atLeast"/>
        <w:ind w:firstLine="480" w:firstLineChars="200"/>
        <w:rPr>
          <w:sz w:val="24"/>
        </w:rPr>
      </w:pPr>
      <w:r>
        <w:rPr>
          <w:sz w:val="24"/>
        </w:rPr>
        <w:t>由单只公称水容积为1000L~4200L的储氢气瓶，通过支撑端板与框架采用永久性连接，且与管路、安全附件、仪表、装卸附件等部件组成的装运压缩氢气的移动式压力容器。</w:t>
      </w:r>
    </w:p>
    <w:p>
      <w:pPr>
        <w:spacing w:line="480" w:lineRule="atLeast"/>
        <w:rPr>
          <w:sz w:val="24"/>
        </w:rPr>
      </w:pPr>
      <w:r>
        <w:rPr>
          <w:rFonts w:hint="eastAsia"/>
          <w:sz w:val="24"/>
        </w:rPr>
        <w:t xml:space="preserve">2.0.10 固态储氢罐  metal hydride hydrogen storage tank </w:t>
      </w:r>
    </w:p>
    <w:p>
      <w:pPr>
        <w:spacing w:line="480" w:lineRule="atLeast"/>
        <w:ind w:firstLine="480" w:firstLineChars="200"/>
        <w:rPr>
          <w:sz w:val="24"/>
        </w:rPr>
      </w:pPr>
      <w:r>
        <w:rPr>
          <w:rFonts w:hint="eastAsia"/>
          <w:sz w:val="24"/>
        </w:rPr>
        <w:t>采用金属氢化物进行可逆储存/释放氢气的储氢容器，包括金属氢化物床体，必要的安全附件及压力检测、显示仪器等。</w:t>
      </w:r>
    </w:p>
    <w:p>
      <w:pPr>
        <w:spacing w:line="480" w:lineRule="atLeast"/>
        <w:rPr>
          <w:sz w:val="24"/>
        </w:rPr>
      </w:pPr>
      <w:r>
        <w:rPr>
          <w:rFonts w:hint="eastAsia"/>
          <w:sz w:val="24"/>
        </w:rPr>
        <w:t xml:space="preserve">2.0.11  固态储氢装置  metal hydride hydrogen storage system </w:t>
      </w:r>
    </w:p>
    <w:p>
      <w:pPr>
        <w:spacing w:line="480" w:lineRule="atLeast"/>
        <w:ind w:firstLine="480" w:firstLineChars="200"/>
        <w:rPr>
          <w:sz w:val="24"/>
        </w:rPr>
      </w:pPr>
      <w:r>
        <w:rPr>
          <w:rFonts w:hint="eastAsia"/>
          <w:sz w:val="24"/>
        </w:rPr>
        <w:t>由若干个固态储氢罐组成的储放氢装置，包括相应的连接管道、阀门、换热结构、安全附件等。</w:t>
      </w:r>
    </w:p>
    <w:p>
      <w:pPr>
        <w:spacing w:line="480" w:lineRule="atLeast"/>
        <w:rPr>
          <w:sz w:val="24"/>
        </w:rPr>
      </w:pPr>
      <w:r>
        <w:rPr>
          <w:sz w:val="24"/>
        </w:rPr>
        <w:t>2.0.1</w:t>
      </w:r>
      <w:r>
        <w:rPr>
          <w:rFonts w:hint="eastAsia"/>
          <w:sz w:val="24"/>
        </w:rPr>
        <w:t>2</w:t>
      </w:r>
      <w:r>
        <w:rPr>
          <w:sz w:val="24"/>
        </w:rPr>
        <w:t xml:space="preserve">  明火地点  </w:t>
      </w:r>
      <w:r>
        <w:rPr>
          <w:sz w:val="24"/>
          <w:lang w:val="en-GB"/>
        </w:rPr>
        <w:t>open f</w:t>
      </w:r>
      <w:r>
        <w:rPr>
          <w:sz w:val="24"/>
        </w:rPr>
        <w:t xml:space="preserve">lame </w:t>
      </w:r>
      <w:r>
        <w:rPr>
          <w:rFonts w:hint="eastAsia"/>
          <w:sz w:val="24"/>
        </w:rPr>
        <w:t>site</w:t>
      </w:r>
    </w:p>
    <w:p>
      <w:pPr>
        <w:spacing w:line="480" w:lineRule="atLeast"/>
        <w:ind w:firstLine="480" w:firstLineChars="200"/>
        <w:rPr>
          <w:sz w:val="24"/>
        </w:rPr>
      </w:pPr>
      <w:r>
        <w:rPr>
          <w:sz w:val="24"/>
        </w:rPr>
        <w:t>室内外有外露的火焰或赤热表面的固定地点。</w:t>
      </w:r>
    </w:p>
    <w:p>
      <w:pPr>
        <w:spacing w:line="480" w:lineRule="atLeast"/>
        <w:rPr>
          <w:sz w:val="24"/>
        </w:rPr>
      </w:pPr>
      <w:r>
        <w:rPr>
          <w:sz w:val="24"/>
        </w:rPr>
        <w:t>2.0.1</w:t>
      </w:r>
      <w:r>
        <w:rPr>
          <w:rFonts w:hint="eastAsia"/>
          <w:sz w:val="24"/>
        </w:rPr>
        <w:t>3</w:t>
      </w:r>
      <w:r>
        <w:rPr>
          <w:sz w:val="24"/>
        </w:rPr>
        <w:t xml:space="preserve">  散发火花地点  sp</w:t>
      </w:r>
      <w:r>
        <w:rPr>
          <w:sz w:val="24"/>
          <w:lang w:val="en-GB"/>
        </w:rPr>
        <w:t>a</w:t>
      </w:r>
      <w:r>
        <w:rPr>
          <w:sz w:val="24"/>
        </w:rPr>
        <w:t>r</w:t>
      </w:r>
      <w:r>
        <w:rPr>
          <w:sz w:val="24"/>
          <w:lang w:val="en-GB"/>
        </w:rPr>
        <w:t>king site</w:t>
      </w:r>
    </w:p>
    <w:p>
      <w:pPr>
        <w:spacing w:line="480" w:lineRule="atLeast"/>
        <w:ind w:firstLine="480" w:firstLineChars="200"/>
        <w:rPr>
          <w:sz w:val="24"/>
        </w:rPr>
      </w:pPr>
      <w:r>
        <w:rPr>
          <w:sz w:val="24"/>
        </w:rPr>
        <w:t>有飞火的烟囱</w:t>
      </w:r>
      <w:r>
        <w:rPr>
          <w:sz w:val="24"/>
          <w:lang w:val="en-GB"/>
        </w:rPr>
        <w:t>或室外</w:t>
      </w:r>
      <w:r>
        <w:rPr>
          <w:sz w:val="24"/>
        </w:rPr>
        <w:t>的砂轮、电焊、气焊（割）、</w:t>
      </w:r>
      <w:r>
        <w:rPr>
          <w:rFonts w:hint="eastAsia"/>
          <w:sz w:val="24"/>
        </w:rPr>
        <w:t>室外非防爆的电气开关</w:t>
      </w:r>
      <w:r>
        <w:rPr>
          <w:sz w:val="24"/>
        </w:rPr>
        <w:t>等固定地点。</w:t>
      </w:r>
    </w:p>
    <w:p>
      <w:pPr>
        <w:spacing w:line="480" w:lineRule="atLeast"/>
        <w:rPr>
          <w:sz w:val="24"/>
        </w:rPr>
      </w:pPr>
      <w:r>
        <w:rPr>
          <w:sz w:val="24"/>
        </w:rPr>
        <w:t>2.0.1</w:t>
      </w:r>
      <w:r>
        <w:rPr>
          <w:rFonts w:hint="eastAsia"/>
          <w:sz w:val="24"/>
        </w:rPr>
        <w:t>4</w:t>
      </w:r>
      <w:r>
        <w:rPr>
          <w:sz w:val="24"/>
        </w:rPr>
        <w:t xml:space="preserve">  氢气</w:t>
      </w:r>
      <w:r>
        <w:rPr>
          <w:rFonts w:hint="eastAsia"/>
          <w:sz w:val="24"/>
        </w:rPr>
        <w:t>充</w:t>
      </w:r>
      <w:r>
        <w:rPr>
          <w:sz w:val="24"/>
        </w:rPr>
        <w:t>装系统  filling hydrogen gas system</w:t>
      </w:r>
    </w:p>
    <w:p>
      <w:pPr>
        <w:spacing w:line="480" w:lineRule="atLeast"/>
        <w:ind w:firstLine="480" w:firstLineChars="200"/>
        <w:rPr>
          <w:sz w:val="24"/>
        </w:rPr>
      </w:pPr>
      <w:r>
        <w:rPr>
          <w:sz w:val="24"/>
        </w:rPr>
        <w:t>设有氢气用储存、增压、</w:t>
      </w:r>
      <w:r>
        <w:rPr>
          <w:rFonts w:hint="eastAsia"/>
          <w:sz w:val="24"/>
        </w:rPr>
        <w:t>充</w:t>
      </w:r>
      <w:r>
        <w:rPr>
          <w:sz w:val="24"/>
        </w:rPr>
        <w:t>装设施及其必要的辅助设施的统称。</w:t>
      </w:r>
    </w:p>
    <w:p>
      <w:pPr>
        <w:spacing w:line="480" w:lineRule="atLeast"/>
        <w:rPr>
          <w:sz w:val="24"/>
        </w:rPr>
      </w:pPr>
      <w:r>
        <w:rPr>
          <w:sz w:val="24"/>
        </w:rPr>
        <w:t>2.0.1</w:t>
      </w:r>
      <w:r>
        <w:rPr>
          <w:rFonts w:hint="eastAsia"/>
          <w:sz w:val="24"/>
        </w:rPr>
        <w:t>5</w:t>
      </w:r>
      <w:r>
        <w:rPr>
          <w:sz w:val="24"/>
        </w:rPr>
        <w:t xml:space="preserve">  液氢</w:t>
      </w:r>
      <w:r>
        <w:rPr>
          <w:rFonts w:hint="eastAsia"/>
          <w:sz w:val="24"/>
        </w:rPr>
        <w:t>灌</w:t>
      </w:r>
      <w:r>
        <w:rPr>
          <w:sz w:val="24"/>
        </w:rPr>
        <w:t>装系统  liquid hydrogen filling system</w:t>
      </w:r>
    </w:p>
    <w:p>
      <w:pPr>
        <w:spacing w:line="480" w:lineRule="atLeast"/>
        <w:ind w:firstLine="480" w:firstLineChars="200"/>
        <w:rPr>
          <w:sz w:val="24"/>
        </w:rPr>
      </w:pPr>
      <w:r>
        <w:rPr>
          <w:sz w:val="24"/>
        </w:rPr>
        <w:t>设有液氢加注用存储、增压、灌</w:t>
      </w:r>
      <w:r>
        <w:rPr>
          <w:rFonts w:hint="eastAsia"/>
          <w:sz w:val="24"/>
        </w:rPr>
        <w:t>装</w:t>
      </w:r>
      <w:r>
        <w:rPr>
          <w:sz w:val="24"/>
        </w:rPr>
        <w:t>、排空设施及其必要的辅助设施的统称。</w:t>
      </w:r>
    </w:p>
    <w:p>
      <w:pPr>
        <w:spacing w:line="480" w:lineRule="atLeast"/>
        <w:rPr>
          <w:sz w:val="24"/>
        </w:rPr>
      </w:pPr>
      <w:r>
        <w:rPr>
          <w:sz w:val="24"/>
        </w:rPr>
        <w:t>2.0.1</w:t>
      </w:r>
      <w:r>
        <w:rPr>
          <w:rFonts w:hint="eastAsia"/>
          <w:sz w:val="24"/>
        </w:rPr>
        <w:t>6</w:t>
      </w:r>
      <w:r>
        <w:rPr>
          <w:sz w:val="24"/>
        </w:rPr>
        <w:t xml:space="preserve">  水电解制氢装置  installation of hydrogen gas produced by electrolysising water</w:t>
      </w:r>
    </w:p>
    <w:p>
      <w:pPr>
        <w:spacing w:line="480" w:lineRule="atLeast"/>
        <w:ind w:firstLine="480" w:firstLineChars="200"/>
        <w:rPr>
          <w:sz w:val="24"/>
        </w:rPr>
      </w:pPr>
      <w:r>
        <w:rPr>
          <w:sz w:val="24"/>
        </w:rPr>
        <w:t>以水为原料，由水电解槽、氢（氧）气液分离器、氢（氧）气冷却器等设备组合的统称。</w:t>
      </w:r>
    </w:p>
    <w:p>
      <w:pPr>
        <w:spacing w:line="480" w:lineRule="atLeast"/>
        <w:rPr>
          <w:sz w:val="24"/>
        </w:rPr>
      </w:pPr>
      <w:r>
        <w:rPr>
          <w:sz w:val="24"/>
        </w:rPr>
        <w:t>2.0.1</w:t>
      </w:r>
      <w:r>
        <w:rPr>
          <w:rFonts w:hint="eastAsia"/>
          <w:sz w:val="24"/>
        </w:rPr>
        <w:t>7</w:t>
      </w:r>
      <w:r>
        <w:rPr>
          <w:sz w:val="24"/>
        </w:rPr>
        <w:t xml:space="preserve">  碱性水电解制氢系统  alkaline water electrolysis system for hydrogen production</w:t>
      </w:r>
    </w:p>
    <w:p>
      <w:pPr>
        <w:spacing w:line="480" w:lineRule="atLeast"/>
        <w:ind w:firstLine="480" w:firstLineChars="200"/>
        <w:rPr>
          <w:sz w:val="24"/>
        </w:rPr>
      </w:pPr>
      <w:r>
        <w:rPr>
          <w:sz w:val="24"/>
        </w:rPr>
        <w:t>由碱性水电解槽和附属设备、管道及其附件、箱体等组成的水电解制氢系统。</w:t>
      </w:r>
    </w:p>
    <w:p>
      <w:pPr>
        <w:spacing w:line="480" w:lineRule="atLeast"/>
        <w:rPr>
          <w:sz w:val="24"/>
        </w:rPr>
      </w:pPr>
      <w:r>
        <w:rPr>
          <w:sz w:val="24"/>
        </w:rPr>
        <w:t>2.0.1</w:t>
      </w:r>
      <w:r>
        <w:rPr>
          <w:rFonts w:hint="eastAsia"/>
          <w:sz w:val="24"/>
        </w:rPr>
        <w:t>8</w:t>
      </w:r>
      <w:r>
        <w:rPr>
          <w:sz w:val="24"/>
        </w:rPr>
        <w:t xml:space="preserve">  </w:t>
      </w:r>
      <w:r>
        <w:rPr>
          <w:rFonts w:hint="eastAsia"/>
          <w:sz w:val="24"/>
        </w:rPr>
        <w:t>质子交换膜（</w:t>
      </w:r>
      <w:r>
        <w:rPr>
          <w:sz w:val="24"/>
        </w:rPr>
        <w:t>PEM</w:t>
      </w:r>
      <w:r>
        <w:rPr>
          <w:rFonts w:hint="eastAsia"/>
          <w:sz w:val="24"/>
        </w:rPr>
        <w:t>）</w:t>
      </w:r>
      <w:r>
        <w:rPr>
          <w:sz w:val="24"/>
        </w:rPr>
        <w:t>水电解制氢系统  proton exchange membrance water electrolysis system for hydrogen production</w:t>
      </w:r>
    </w:p>
    <w:p>
      <w:pPr>
        <w:spacing w:line="480" w:lineRule="atLeast"/>
        <w:ind w:firstLine="480" w:firstLineChars="200"/>
        <w:rPr>
          <w:sz w:val="24"/>
        </w:rPr>
      </w:pPr>
      <w:r>
        <w:rPr>
          <w:sz w:val="24"/>
        </w:rPr>
        <w:t>由PEM水电解槽和附属设备、管道及其附件、箱体等共同构成的水电解制氢系统。</w:t>
      </w:r>
    </w:p>
    <w:p>
      <w:pPr>
        <w:spacing w:line="480" w:lineRule="atLeast"/>
        <w:rPr>
          <w:sz w:val="24"/>
        </w:rPr>
      </w:pPr>
      <w:r>
        <w:rPr>
          <w:sz w:val="24"/>
        </w:rPr>
        <w:t>2.0.1</w:t>
      </w:r>
      <w:r>
        <w:rPr>
          <w:rFonts w:hint="eastAsia"/>
          <w:sz w:val="24"/>
        </w:rPr>
        <w:t>9</w:t>
      </w:r>
      <w:r>
        <w:rPr>
          <w:sz w:val="24"/>
        </w:rPr>
        <w:t xml:space="preserve">  变压吸附提纯氢装置  the installation of hydrogen p</w:t>
      </w:r>
      <w:r>
        <w:rPr>
          <w:sz w:val="24"/>
          <w:lang w:val="en-GB"/>
        </w:rPr>
        <w:t>u</w:t>
      </w:r>
      <w:r>
        <w:rPr>
          <w:sz w:val="24"/>
        </w:rPr>
        <w:t>rification by pressure swing adsorption</w:t>
      </w:r>
    </w:p>
    <w:p>
      <w:pPr>
        <w:spacing w:line="480" w:lineRule="atLeast"/>
        <w:ind w:firstLine="480" w:firstLineChars="200"/>
        <w:rPr>
          <w:sz w:val="24"/>
        </w:rPr>
      </w:pPr>
      <w:r>
        <w:rPr>
          <w:sz w:val="24"/>
        </w:rPr>
        <w:t>以各类含氢气体为原料，经多个吸附塔，采用变压吸附法，从原料气中提取氢气的工艺设备、管道及其附件等组合的提纯氢装置。</w:t>
      </w:r>
    </w:p>
    <w:p>
      <w:pPr>
        <w:spacing w:line="480" w:lineRule="atLeast"/>
        <w:rPr>
          <w:sz w:val="24"/>
        </w:rPr>
      </w:pPr>
      <w:r>
        <w:rPr>
          <w:sz w:val="24"/>
        </w:rPr>
        <w:t>2.0.</w:t>
      </w:r>
      <w:r>
        <w:rPr>
          <w:rFonts w:hint="eastAsia"/>
          <w:sz w:val="24"/>
        </w:rPr>
        <w:t>20</w:t>
      </w:r>
      <w:r>
        <w:rPr>
          <w:sz w:val="24"/>
        </w:rPr>
        <w:t xml:space="preserve">  变压吸附提纯氢系统  hydrogen purification system by pressure swing adsorption</w:t>
      </w:r>
    </w:p>
    <w:p>
      <w:pPr>
        <w:spacing w:line="480" w:lineRule="atLeast"/>
        <w:ind w:firstLine="480" w:firstLineChars="200"/>
        <w:rPr>
          <w:sz w:val="24"/>
        </w:rPr>
      </w:pPr>
      <w:r>
        <w:rPr>
          <w:sz w:val="24"/>
        </w:rPr>
        <w:t>以变压吸附法从各类含氢气体中提纯制取氢气，由变压吸附</w:t>
      </w:r>
      <w:r>
        <w:rPr>
          <w:rFonts w:hint="eastAsia"/>
          <w:sz w:val="24"/>
        </w:rPr>
        <w:t>提纯氢</w:t>
      </w:r>
      <w:r>
        <w:rPr>
          <w:sz w:val="24"/>
        </w:rPr>
        <w:t>装置以及加压、储存、纯化等操作单元组成的工艺系统的统称。</w:t>
      </w:r>
    </w:p>
    <w:p>
      <w:pPr>
        <w:spacing w:line="480" w:lineRule="atLeast"/>
        <w:rPr>
          <w:kern w:val="0"/>
          <w:sz w:val="24"/>
        </w:rPr>
      </w:pPr>
      <w:r>
        <w:rPr>
          <w:sz w:val="24"/>
        </w:rPr>
        <w:t>2.0.2</w:t>
      </w:r>
      <w:r>
        <w:rPr>
          <w:rFonts w:hint="eastAsia"/>
          <w:sz w:val="24"/>
        </w:rPr>
        <w:t>1</w:t>
      </w:r>
      <w:r>
        <w:rPr>
          <w:sz w:val="24"/>
        </w:rPr>
        <w:t xml:space="preserve">  </w:t>
      </w:r>
      <w:r>
        <w:rPr>
          <w:kern w:val="0"/>
          <w:sz w:val="24"/>
        </w:rPr>
        <w:t>天然气转化制氢</w:t>
      </w:r>
      <w:r>
        <w:rPr>
          <w:rFonts w:hint="eastAsia"/>
          <w:kern w:val="0"/>
          <w:sz w:val="24"/>
        </w:rPr>
        <w:t>系统</w:t>
      </w:r>
      <w:r>
        <w:rPr>
          <w:kern w:val="0"/>
          <w:sz w:val="24"/>
        </w:rPr>
        <w:t xml:space="preserve">  natural gas conversion hydrogen plant</w:t>
      </w:r>
    </w:p>
    <w:p>
      <w:pPr>
        <w:spacing w:line="480" w:lineRule="atLeast"/>
        <w:ind w:firstLine="480" w:firstLineChars="200"/>
        <w:rPr>
          <w:sz w:val="24"/>
        </w:rPr>
      </w:pPr>
      <w:r>
        <w:rPr>
          <w:sz w:val="24"/>
        </w:rPr>
        <w:t>以天然气为原料，采用原料气预处理、蒸汽转化、变换、变压吸附提纯等工艺单元制取氢气的生产设备组合的统称。</w:t>
      </w:r>
    </w:p>
    <w:p>
      <w:pPr>
        <w:spacing w:line="480" w:lineRule="atLeast"/>
        <w:rPr>
          <w:sz w:val="24"/>
        </w:rPr>
      </w:pPr>
      <w:r>
        <w:rPr>
          <w:sz w:val="24"/>
        </w:rPr>
        <w:t>2.0.2</w:t>
      </w:r>
      <w:r>
        <w:rPr>
          <w:rFonts w:hint="eastAsia"/>
          <w:sz w:val="24"/>
        </w:rPr>
        <w:t>2</w:t>
      </w:r>
      <w:r>
        <w:rPr>
          <w:sz w:val="24"/>
        </w:rPr>
        <w:t xml:space="preserve">  甲醇蒸汽转化制氢</w:t>
      </w:r>
      <w:r>
        <w:rPr>
          <w:rFonts w:hint="eastAsia"/>
          <w:sz w:val="24"/>
        </w:rPr>
        <w:t>系统</w:t>
      </w:r>
      <w:r>
        <w:rPr>
          <w:sz w:val="24"/>
        </w:rPr>
        <w:t xml:space="preserve">  the installation of hydrogen gas produced by the methanol transforming</w:t>
      </w:r>
    </w:p>
    <w:p>
      <w:pPr>
        <w:spacing w:line="480" w:lineRule="atLeast"/>
        <w:ind w:firstLine="480" w:firstLineChars="200"/>
        <w:rPr>
          <w:sz w:val="24"/>
        </w:rPr>
      </w:pPr>
      <w:r>
        <w:rPr>
          <w:sz w:val="24"/>
        </w:rPr>
        <w:t>以甲醇和水为原料，采用加热汽化、重整转化、变压吸附提纯等工艺单元制取氢气的生产设备组合的统称。</w:t>
      </w:r>
    </w:p>
    <w:p>
      <w:pPr>
        <w:spacing w:line="480" w:lineRule="atLeast"/>
        <w:rPr>
          <w:sz w:val="24"/>
        </w:rPr>
      </w:pPr>
      <w:r>
        <w:rPr>
          <w:sz w:val="24"/>
        </w:rPr>
        <w:t>2.0.2</w:t>
      </w:r>
      <w:r>
        <w:rPr>
          <w:rFonts w:hint="eastAsia"/>
          <w:sz w:val="24"/>
        </w:rPr>
        <w:t>3</w:t>
      </w:r>
      <w:r>
        <w:rPr>
          <w:sz w:val="24"/>
        </w:rPr>
        <w:t xml:space="preserve">  低压氢气压缩机  the low pressure compressor for the hydrogen gas</w:t>
      </w:r>
    </w:p>
    <w:p>
      <w:pPr>
        <w:spacing w:line="480" w:lineRule="atLeast"/>
        <w:ind w:firstLine="480" w:firstLineChars="200"/>
        <w:rPr>
          <w:sz w:val="24"/>
        </w:rPr>
      </w:pPr>
      <w:r>
        <w:rPr>
          <w:sz w:val="24"/>
        </w:rPr>
        <w:t>输出压力小于1.6 MPa的氢气压缩机。</w:t>
      </w:r>
    </w:p>
    <w:p>
      <w:pPr>
        <w:spacing w:line="480" w:lineRule="atLeast"/>
        <w:rPr>
          <w:sz w:val="24"/>
        </w:rPr>
      </w:pPr>
      <w:r>
        <w:rPr>
          <w:sz w:val="24"/>
        </w:rPr>
        <w:t>2.0.2</w:t>
      </w:r>
      <w:r>
        <w:rPr>
          <w:rFonts w:hint="eastAsia"/>
          <w:sz w:val="24"/>
        </w:rPr>
        <w:t>4</w:t>
      </w:r>
      <w:r>
        <w:rPr>
          <w:sz w:val="24"/>
        </w:rPr>
        <w:t xml:space="preserve">  中压氢气压缩机  the middle pressure compressor for the hydrogen gas</w:t>
      </w:r>
    </w:p>
    <w:p>
      <w:pPr>
        <w:spacing w:line="480" w:lineRule="atLeast"/>
        <w:ind w:firstLine="480" w:firstLineChars="200"/>
        <w:rPr>
          <w:sz w:val="24"/>
        </w:rPr>
      </w:pPr>
      <w:r>
        <w:rPr>
          <w:sz w:val="24"/>
        </w:rPr>
        <w:t>输出压力大于或等于1.6 MPa，小于10.0 MPa的氢气压缩机。</w:t>
      </w:r>
    </w:p>
    <w:p>
      <w:pPr>
        <w:spacing w:line="480" w:lineRule="atLeast"/>
        <w:rPr>
          <w:sz w:val="24"/>
        </w:rPr>
      </w:pPr>
      <w:r>
        <w:rPr>
          <w:sz w:val="24"/>
        </w:rPr>
        <w:t>2.0.2</w:t>
      </w:r>
      <w:r>
        <w:rPr>
          <w:rFonts w:hint="eastAsia"/>
          <w:sz w:val="24"/>
        </w:rPr>
        <w:t>5</w:t>
      </w:r>
      <w:r>
        <w:rPr>
          <w:sz w:val="24"/>
        </w:rPr>
        <w:t xml:space="preserve">  高压氢气压缩机  the high pressure compressor for the hydrogen gas</w:t>
      </w:r>
    </w:p>
    <w:p>
      <w:pPr>
        <w:spacing w:line="480" w:lineRule="atLeast"/>
        <w:ind w:firstLine="480" w:firstLineChars="200"/>
        <w:rPr>
          <w:sz w:val="24"/>
        </w:rPr>
      </w:pPr>
      <w:r>
        <w:rPr>
          <w:sz w:val="24"/>
        </w:rPr>
        <w:t>输出压力大于或等于10.0 MPa的氢气压缩机。</w:t>
      </w:r>
    </w:p>
    <w:p>
      <w:pPr>
        <w:spacing w:line="480" w:lineRule="atLeast"/>
        <w:rPr>
          <w:sz w:val="24"/>
        </w:rPr>
      </w:pPr>
      <w:r>
        <w:rPr>
          <w:sz w:val="24"/>
        </w:rPr>
        <w:t>2.0.2</w:t>
      </w:r>
      <w:r>
        <w:rPr>
          <w:rFonts w:hint="eastAsia"/>
          <w:sz w:val="24"/>
        </w:rPr>
        <w:t>6</w:t>
      </w:r>
      <w:r>
        <w:rPr>
          <w:sz w:val="24"/>
        </w:rPr>
        <w:t xml:space="preserve">  钢瓶集装格  the bundle of hydrogen gas cylinders</w:t>
      </w:r>
    </w:p>
    <w:p>
      <w:pPr>
        <w:spacing w:line="480" w:lineRule="atLeast"/>
        <w:ind w:firstLine="480" w:firstLineChars="200"/>
        <w:rPr>
          <w:sz w:val="24"/>
        </w:rPr>
      </w:pPr>
      <w:r>
        <w:rPr>
          <w:sz w:val="24"/>
        </w:rPr>
        <w:t>由专用框架固定，采用集气管将多只气体钢瓶接口并</w:t>
      </w:r>
      <w:r>
        <w:rPr>
          <w:rFonts w:hint="eastAsia"/>
          <w:sz w:val="24"/>
        </w:rPr>
        <w:t>联</w:t>
      </w:r>
      <w:r>
        <w:rPr>
          <w:sz w:val="24"/>
        </w:rPr>
        <w:t>组合的气体钢瓶组单元。</w:t>
      </w:r>
    </w:p>
    <w:p>
      <w:pPr>
        <w:spacing w:line="480" w:lineRule="atLeast"/>
        <w:rPr>
          <w:sz w:val="24"/>
        </w:rPr>
      </w:pPr>
      <w:r>
        <w:rPr>
          <w:sz w:val="24"/>
        </w:rPr>
        <w:t>2.0.2</w:t>
      </w:r>
      <w:r>
        <w:rPr>
          <w:rFonts w:hint="eastAsia"/>
          <w:sz w:val="24"/>
        </w:rPr>
        <w:t>7</w:t>
      </w:r>
      <w:r>
        <w:rPr>
          <w:sz w:val="24"/>
        </w:rPr>
        <w:t xml:space="preserve">  氢气长管拖车 tube trailers for gaseous hydrogen</w:t>
      </w:r>
    </w:p>
    <w:p>
      <w:pPr>
        <w:spacing w:line="480" w:lineRule="atLeast"/>
        <w:ind w:firstLine="480" w:firstLineChars="200"/>
        <w:rPr>
          <w:sz w:val="24"/>
        </w:rPr>
      </w:pPr>
      <w:r>
        <w:rPr>
          <w:sz w:val="24"/>
        </w:rPr>
        <w:t>由储氢气瓶通过支撑端板或框架与半挂车行走机构或定型底盘采用永久性连接组成的道路运输车辆。</w:t>
      </w:r>
    </w:p>
    <w:p>
      <w:pPr>
        <w:spacing w:line="480" w:lineRule="atLeast"/>
        <w:rPr>
          <w:sz w:val="24"/>
        </w:rPr>
      </w:pPr>
      <w:r>
        <w:rPr>
          <w:sz w:val="24"/>
        </w:rPr>
        <w:t>2.0.2</w:t>
      </w:r>
      <w:r>
        <w:rPr>
          <w:rFonts w:hint="eastAsia"/>
          <w:sz w:val="24"/>
        </w:rPr>
        <w:t>8</w:t>
      </w:r>
      <w:r>
        <w:rPr>
          <w:sz w:val="24"/>
        </w:rPr>
        <w:t xml:space="preserve">  氢气汇流排间  the hydrogen gas manifolds room</w:t>
      </w:r>
    </w:p>
    <w:p>
      <w:pPr>
        <w:spacing w:line="480" w:lineRule="atLeast"/>
        <w:ind w:firstLine="480" w:firstLineChars="200"/>
        <w:rPr>
          <w:sz w:val="24"/>
        </w:rPr>
      </w:pPr>
      <w:r>
        <w:rPr>
          <w:sz w:val="24"/>
        </w:rPr>
        <w:t>设有采用氢气钢瓶供应氢气用的汇流排组等设施的房间。</w:t>
      </w:r>
    </w:p>
    <w:p>
      <w:pPr>
        <w:spacing w:line="480" w:lineRule="atLeast"/>
        <w:rPr>
          <w:sz w:val="24"/>
        </w:rPr>
      </w:pPr>
      <w:r>
        <w:rPr>
          <w:sz w:val="24"/>
        </w:rPr>
        <w:t>2.0.2</w:t>
      </w:r>
      <w:r>
        <w:rPr>
          <w:rFonts w:hint="eastAsia"/>
          <w:sz w:val="24"/>
        </w:rPr>
        <w:t>9</w:t>
      </w:r>
      <w:r>
        <w:rPr>
          <w:sz w:val="24"/>
        </w:rPr>
        <w:t xml:space="preserve">  氢气</w:t>
      </w:r>
      <w:r>
        <w:rPr>
          <w:rFonts w:hint="eastAsia"/>
          <w:sz w:val="24"/>
        </w:rPr>
        <w:t>充</w:t>
      </w:r>
      <w:r>
        <w:rPr>
          <w:sz w:val="24"/>
        </w:rPr>
        <w:t>装间  hydrogen filling room</w:t>
      </w:r>
    </w:p>
    <w:p>
      <w:pPr>
        <w:spacing w:line="480" w:lineRule="atLeast"/>
        <w:ind w:firstLine="480" w:firstLineChars="200"/>
        <w:rPr>
          <w:sz w:val="24"/>
        </w:rPr>
      </w:pPr>
      <w:r>
        <w:rPr>
          <w:sz w:val="24"/>
        </w:rPr>
        <w:t>用于氢气钢瓶或钢瓶集装格</w:t>
      </w:r>
      <w:r>
        <w:rPr>
          <w:rFonts w:hint="eastAsia"/>
          <w:sz w:val="24"/>
        </w:rPr>
        <w:t>充</w:t>
      </w:r>
      <w:r>
        <w:rPr>
          <w:sz w:val="24"/>
        </w:rPr>
        <w:t>装氢气并设置氢气</w:t>
      </w:r>
      <w:r>
        <w:rPr>
          <w:rFonts w:hint="eastAsia"/>
          <w:sz w:val="24"/>
        </w:rPr>
        <w:t>充</w:t>
      </w:r>
      <w:r>
        <w:rPr>
          <w:sz w:val="24"/>
        </w:rPr>
        <w:t>装设施的房间。</w:t>
      </w:r>
    </w:p>
    <w:p>
      <w:pPr>
        <w:spacing w:line="480" w:lineRule="atLeast"/>
        <w:rPr>
          <w:sz w:val="24"/>
        </w:rPr>
      </w:pPr>
      <w:r>
        <w:rPr>
          <w:sz w:val="24"/>
        </w:rPr>
        <w:t>2.0.</w:t>
      </w:r>
      <w:r>
        <w:rPr>
          <w:rFonts w:hint="eastAsia"/>
          <w:sz w:val="24"/>
        </w:rPr>
        <w:t>30</w:t>
      </w:r>
      <w:r>
        <w:rPr>
          <w:sz w:val="24"/>
        </w:rPr>
        <w:t xml:space="preserve">  氢气</w:t>
      </w:r>
      <w:r>
        <w:rPr>
          <w:rFonts w:hint="eastAsia"/>
          <w:sz w:val="24"/>
        </w:rPr>
        <w:t>充</w:t>
      </w:r>
      <w:r>
        <w:rPr>
          <w:sz w:val="24"/>
        </w:rPr>
        <w:t>装区  hydrogen filling zone</w:t>
      </w:r>
    </w:p>
    <w:p>
      <w:pPr>
        <w:spacing w:line="480" w:lineRule="atLeast"/>
        <w:ind w:firstLine="480" w:firstLineChars="200"/>
        <w:rPr>
          <w:sz w:val="24"/>
        </w:rPr>
      </w:pPr>
      <w:r>
        <w:rPr>
          <w:sz w:val="24"/>
        </w:rPr>
        <w:t>用于氢气长管拖车或氢气管束式集装箱</w:t>
      </w:r>
      <w:r>
        <w:rPr>
          <w:rFonts w:hint="eastAsia"/>
          <w:sz w:val="24"/>
        </w:rPr>
        <w:t>充</w:t>
      </w:r>
      <w:r>
        <w:rPr>
          <w:sz w:val="24"/>
        </w:rPr>
        <w:t>装氢气并设置氢气</w:t>
      </w:r>
      <w:r>
        <w:rPr>
          <w:rFonts w:hint="eastAsia"/>
          <w:sz w:val="24"/>
        </w:rPr>
        <w:t>充</w:t>
      </w:r>
      <w:r>
        <w:rPr>
          <w:sz w:val="24"/>
        </w:rPr>
        <w:t>装设施的场地。</w:t>
      </w:r>
    </w:p>
    <w:p>
      <w:pPr>
        <w:spacing w:line="480" w:lineRule="atLeast"/>
        <w:rPr>
          <w:sz w:val="24"/>
        </w:rPr>
      </w:pPr>
      <w:r>
        <w:rPr>
          <w:sz w:val="24"/>
        </w:rPr>
        <w:t>2.0.3</w:t>
      </w:r>
      <w:r>
        <w:rPr>
          <w:rFonts w:hint="eastAsia"/>
          <w:sz w:val="24"/>
        </w:rPr>
        <w:t>1</w:t>
      </w:r>
      <w:r>
        <w:rPr>
          <w:sz w:val="24"/>
        </w:rPr>
        <w:t xml:space="preserve">  液氢</w:t>
      </w:r>
      <w:r>
        <w:rPr>
          <w:rFonts w:hint="eastAsia"/>
          <w:sz w:val="24"/>
        </w:rPr>
        <w:t>灌</w:t>
      </w:r>
      <w:r>
        <w:rPr>
          <w:sz w:val="24"/>
        </w:rPr>
        <w:t>装</w:t>
      </w:r>
      <w:r>
        <w:rPr>
          <w:rFonts w:hint="eastAsia"/>
          <w:sz w:val="24"/>
        </w:rPr>
        <w:t>装置</w:t>
      </w:r>
      <w:r>
        <w:rPr>
          <w:sz w:val="24"/>
        </w:rPr>
        <w:t xml:space="preserve">  liquid hydrogen filling platform</w:t>
      </w:r>
    </w:p>
    <w:p>
      <w:pPr>
        <w:spacing w:line="480" w:lineRule="atLeast"/>
        <w:ind w:firstLine="480" w:firstLineChars="200"/>
        <w:rPr>
          <w:sz w:val="24"/>
        </w:rPr>
      </w:pPr>
      <w:r>
        <w:rPr>
          <w:sz w:val="24"/>
        </w:rPr>
        <w:t>用于液氢储存压力容器</w:t>
      </w:r>
      <w:r>
        <w:rPr>
          <w:rFonts w:hint="eastAsia"/>
          <w:sz w:val="24"/>
        </w:rPr>
        <w:t>、</w:t>
      </w:r>
      <w:r>
        <w:rPr>
          <w:sz w:val="24"/>
        </w:rPr>
        <w:t>液氢罐车、液氢</w:t>
      </w:r>
      <w:r>
        <w:rPr>
          <w:rFonts w:hint="eastAsia"/>
          <w:sz w:val="24"/>
        </w:rPr>
        <w:t>罐式</w:t>
      </w:r>
      <w:r>
        <w:rPr>
          <w:sz w:val="24"/>
        </w:rPr>
        <w:t>集装箱灌</w:t>
      </w:r>
      <w:r>
        <w:rPr>
          <w:rFonts w:hint="eastAsia"/>
          <w:sz w:val="24"/>
        </w:rPr>
        <w:t>装</w:t>
      </w:r>
      <w:r>
        <w:rPr>
          <w:sz w:val="24"/>
        </w:rPr>
        <w:t>的</w:t>
      </w:r>
      <w:r>
        <w:rPr>
          <w:rFonts w:hint="eastAsia"/>
          <w:sz w:val="24"/>
        </w:rPr>
        <w:t>装置</w:t>
      </w:r>
      <w:r>
        <w:rPr>
          <w:sz w:val="24"/>
        </w:rPr>
        <w:t>。</w:t>
      </w:r>
    </w:p>
    <w:p>
      <w:pPr>
        <w:spacing w:line="480" w:lineRule="atLeast"/>
        <w:rPr>
          <w:sz w:val="24"/>
        </w:rPr>
      </w:pPr>
      <w:r>
        <w:rPr>
          <w:sz w:val="24"/>
        </w:rPr>
        <w:t>2.0.3</w:t>
      </w:r>
      <w:r>
        <w:rPr>
          <w:rFonts w:hint="eastAsia"/>
          <w:sz w:val="24"/>
        </w:rPr>
        <w:t>2</w:t>
      </w:r>
      <w:r>
        <w:rPr>
          <w:sz w:val="24"/>
        </w:rPr>
        <w:t xml:space="preserve">  实瓶  </w:t>
      </w:r>
      <w:r>
        <w:rPr>
          <w:rFonts w:hint="eastAsia"/>
          <w:sz w:val="24"/>
        </w:rPr>
        <w:t>filled</w:t>
      </w:r>
      <w:r>
        <w:rPr>
          <w:sz w:val="24"/>
        </w:rPr>
        <w:t xml:space="preserve"> cylinder</w:t>
      </w:r>
    </w:p>
    <w:p>
      <w:pPr>
        <w:spacing w:line="480" w:lineRule="atLeast"/>
        <w:ind w:firstLine="480" w:firstLineChars="200"/>
        <w:rPr>
          <w:sz w:val="24"/>
        </w:rPr>
      </w:pPr>
      <w:r>
        <w:rPr>
          <w:sz w:val="24"/>
        </w:rPr>
        <w:t>存有规定压力的氢气瓶，一般水容积为40L至1500L、设计压力为12.0～45.0 MPa的气瓶。</w:t>
      </w:r>
    </w:p>
    <w:p>
      <w:pPr>
        <w:spacing w:line="480" w:lineRule="atLeast"/>
        <w:rPr>
          <w:sz w:val="24"/>
        </w:rPr>
      </w:pPr>
      <w:r>
        <w:rPr>
          <w:sz w:val="24"/>
        </w:rPr>
        <w:t>2.0.3</w:t>
      </w:r>
      <w:r>
        <w:rPr>
          <w:rFonts w:hint="eastAsia"/>
          <w:sz w:val="24"/>
        </w:rPr>
        <w:t>3</w:t>
      </w:r>
      <w:r>
        <w:rPr>
          <w:sz w:val="24"/>
        </w:rPr>
        <w:t xml:space="preserve">  空瓶  empty cylinder</w:t>
      </w:r>
    </w:p>
    <w:p>
      <w:pPr>
        <w:spacing w:line="480" w:lineRule="atLeast"/>
        <w:ind w:firstLine="480" w:firstLineChars="200"/>
        <w:rPr>
          <w:sz w:val="24"/>
        </w:rPr>
      </w:pPr>
      <w:r>
        <w:rPr>
          <w:sz w:val="24"/>
        </w:rPr>
        <w:t>无内压或留有规定剩余压力的氢气瓶。</w:t>
      </w:r>
    </w:p>
    <w:p>
      <w:pPr>
        <w:spacing w:line="480" w:lineRule="atLeast"/>
        <w:rPr>
          <w:sz w:val="24"/>
        </w:rPr>
      </w:pPr>
      <w:r>
        <w:rPr>
          <w:sz w:val="24"/>
        </w:rPr>
        <w:t>2.0.3</w:t>
      </w:r>
      <w:r>
        <w:rPr>
          <w:rFonts w:hint="eastAsia"/>
          <w:sz w:val="24"/>
        </w:rPr>
        <w:t>4</w:t>
      </w:r>
      <w:r>
        <w:rPr>
          <w:sz w:val="24"/>
        </w:rPr>
        <w:t xml:space="preserve">  液氢瓶liquid hydrogen cylinder</w:t>
      </w:r>
    </w:p>
    <w:p>
      <w:pPr>
        <w:spacing w:line="480" w:lineRule="atLeast"/>
        <w:ind w:firstLine="480" w:firstLineChars="200"/>
        <w:rPr>
          <w:sz w:val="24"/>
        </w:rPr>
      </w:pPr>
      <w:r>
        <w:rPr>
          <w:sz w:val="24"/>
        </w:rPr>
        <w:t>用于盛装液氢、容积</w:t>
      </w:r>
      <w:r>
        <w:rPr>
          <w:rFonts w:hint="eastAsia"/>
          <w:sz w:val="24"/>
        </w:rPr>
        <w:t>小于3000L</w:t>
      </w:r>
      <w:r>
        <w:rPr>
          <w:sz w:val="24"/>
        </w:rPr>
        <w:t>的真空绝热气瓶。</w:t>
      </w:r>
    </w:p>
    <w:p>
      <w:pPr>
        <w:spacing w:line="480" w:lineRule="atLeast"/>
        <w:rPr>
          <w:sz w:val="24"/>
        </w:rPr>
      </w:pPr>
      <w:r>
        <w:rPr>
          <w:sz w:val="24"/>
        </w:rPr>
        <w:t>2.0.3</w:t>
      </w:r>
      <w:r>
        <w:rPr>
          <w:rFonts w:hint="eastAsia"/>
          <w:sz w:val="24"/>
        </w:rPr>
        <w:t>5</w:t>
      </w:r>
      <w:r>
        <w:rPr>
          <w:sz w:val="24"/>
        </w:rPr>
        <w:t xml:space="preserve">  湿氢 wet hydrogen</w:t>
      </w:r>
    </w:p>
    <w:p>
      <w:pPr>
        <w:spacing w:line="480" w:lineRule="atLeast"/>
        <w:ind w:firstLine="480" w:firstLineChars="200"/>
        <w:rPr>
          <w:sz w:val="24"/>
        </w:rPr>
      </w:pPr>
      <w:r>
        <w:rPr>
          <w:sz w:val="24"/>
        </w:rPr>
        <w:t>在所处温度、压力下，水含量达饱和或过饱和状态的氢气。</w:t>
      </w:r>
    </w:p>
    <w:p>
      <w:pPr>
        <w:spacing w:line="480" w:lineRule="atLeast"/>
        <w:rPr>
          <w:sz w:val="24"/>
        </w:rPr>
      </w:pPr>
      <w:r>
        <w:rPr>
          <w:sz w:val="24"/>
        </w:rPr>
        <w:t>2.0.3</w:t>
      </w:r>
      <w:r>
        <w:rPr>
          <w:rFonts w:hint="eastAsia"/>
          <w:sz w:val="24"/>
        </w:rPr>
        <w:t>6</w:t>
      </w:r>
      <w:r>
        <w:rPr>
          <w:sz w:val="24"/>
        </w:rPr>
        <w:t xml:space="preserve"> 低温氢气</w:t>
      </w:r>
      <w:r>
        <w:rPr>
          <w:rFonts w:hint="eastAsia"/>
          <w:sz w:val="24"/>
        </w:rPr>
        <w:t xml:space="preserve"> </w:t>
      </w:r>
      <w:r>
        <w:rPr>
          <w:sz w:val="24"/>
        </w:rPr>
        <w:t>cold gaseous hydrogen</w:t>
      </w:r>
    </w:p>
    <w:p>
      <w:pPr>
        <w:spacing w:line="480" w:lineRule="atLeast"/>
        <w:ind w:firstLine="480" w:firstLineChars="200"/>
        <w:rPr>
          <w:sz w:val="24"/>
        </w:rPr>
      </w:pPr>
      <w:r>
        <w:rPr>
          <w:rFonts w:hint="eastAsia"/>
          <w:sz w:val="24"/>
        </w:rPr>
        <w:t>由液氢气化而形成，温度低于液氧温度的氢气。</w:t>
      </w:r>
    </w:p>
    <w:p>
      <w:pPr>
        <w:spacing w:line="480" w:lineRule="atLeast"/>
        <w:jc w:val="center"/>
        <w:outlineLvl w:val="0"/>
        <w:rPr>
          <w:sz w:val="30"/>
        </w:rPr>
      </w:pPr>
      <w:r>
        <w:rPr>
          <w:sz w:val="28"/>
        </w:rPr>
        <w:br w:type="page"/>
      </w:r>
      <w:bookmarkStart w:id="7" w:name="_Toc108940930"/>
      <w:r>
        <w:rPr>
          <w:sz w:val="30"/>
        </w:rPr>
        <w:t xml:space="preserve">3 </w:t>
      </w:r>
      <w:r>
        <w:rPr>
          <w:rFonts w:hint="eastAsia"/>
          <w:sz w:val="30"/>
        </w:rPr>
        <w:t>总图</w:t>
      </w:r>
      <w:r>
        <w:rPr>
          <w:sz w:val="30"/>
        </w:rPr>
        <w:t>布置</w:t>
      </w:r>
      <w:bookmarkEnd w:id="7"/>
    </w:p>
    <w:p>
      <w:pPr>
        <w:spacing w:line="480" w:lineRule="atLeast"/>
        <w:ind w:left="570"/>
        <w:rPr>
          <w:sz w:val="28"/>
        </w:rPr>
      </w:pPr>
    </w:p>
    <w:p>
      <w:pPr>
        <w:spacing w:line="480" w:lineRule="atLeast"/>
        <w:rPr>
          <w:sz w:val="24"/>
        </w:rPr>
      </w:pPr>
      <w:r>
        <w:rPr>
          <w:rFonts w:eastAsia="黑体"/>
          <w:sz w:val="24"/>
        </w:rPr>
        <w:t>3.0.1</w:t>
      </w:r>
      <w:r>
        <w:rPr>
          <w:sz w:val="24"/>
        </w:rPr>
        <w:t xml:space="preserve">  氢气站、供氢站的布置，应按下列要求经综合技术比较确定：</w:t>
      </w:r>
    </w:p>
    <w:p>
      <w:pPr>
        <w:pStyle w:val="8"/>
        <w:ind w:firstLine="480"/>
        <w:rPr>
          <w:sz w:val="24"/>
        </w:rPr>
      </w:pPr>
      <w:r>
        <w:rPr>
          <w:rFonts w:hint="eastAsia"/>
          <w:sz w:val="24"/>
        </w:rPr>
        <w:t>1</w:t>
      </w:r>
      <w:r>
        <w:rPr>
          <w:sz w:val="24"/>
        </w:rPr>
        <w:t xml:space="preserve"> </w:t>
      </w:r>
      <w:r>
        <w:rPr>
          <w:kern w:val="0"/>
          <w:sz w:val="24"/>
          <w:szCs w:val="21"/>
        </w:rPr>
        <w:t>宜布置为独立的</w:t>
      </w:r>
      <w:r>
        <w:rPr>
          <w:sz w:val="24"/>
        </w:rPr>
        <w:t>建筑物、构筑物，且应为</w:t>
      </w:r>
      <w:r>
        <w:rPr>
          <w:kern w:val="0"/>
          <w:sz w:val="24"/>
          <w:szCs w:val="21"/>
        </w:rPr>
        <w:t>通风良好的场所；</w:t>
      </w:r>
    </w:p>
    <w:p>
      <w:pPr>
        <w:pStyle w:val="8"/>
        <w:ind w:firstLine="480"/>
        <w:rPr>
          <w:sz w:val="24"/>
        </w:rPr>
      </w:pPr>
      <w:r>
        <w:rPr>
          <w:rFonts w:hint="eastAsia"/>
          <w:sz w:val="24"/>
        </w:rPr>
        <w:t>2</w:t>
      </w:r>
      <w:r>
        <w:rPr>
          <w:sz w:val="24"/>
        </w:rPr>
        <w:t xml:space="preserve"> 不得布置在人员密集地段和主要交通道路邻近处；</w:t>
      </w:r>
      <w:r>
        <w:rPr>
          <w:kern w:val="0"/>
          <w:sz w:val="24"/>
          <w:szCs w:val="21"/>
        </w:rPr>
        <w:t>并远离有明火或散发火花的地点；</w:t>
      </w:r>
    </w:p>
    <w:p>
      <w:pPr>
        <w:pStyle w:val="8"/>
        <w:ind w:firstLine="480"/>
        <w:rPr>
          <w:sz w:val="24"/>
        </w:rPr>
      </w:pPr>
      <w:r>
        <w:rPr>
          <w:rFonts w:hint="eastAsia"/>
          <w:sz w:val="24"/>
        </w:rPr>
        <w:t>3 宜靠近最大用户处；</w:t>
      </w:r>
    </w:p>
    <w:p>
      <w:pPr>
        <w:pStyle w:val="8"/>
        <w:ind w:firstLine="480"/>
        <w:rPr>
          <w:sz w:val="24"/>
        </w:rPr>
      </w:pPr>
      <w:r>
        <w:rPr>
          <w:rFonts w:hint="eastAsia"/>
          <w:sz w:val="24"/>
        </w:rPr>
        <w:t>4</w:t>
      </w:r>
      <w:r>
        <w:rPr>
          <w:sz w:val="24"/>
        </w:rPr>
        <w:t xml:space="preserve"> </w:t>
      </w:r>
      <w:r>
        <w:rPr>
          <w:rFonts w:hint="eastAsia"/>
          <w:sz w:val="24"/>
        </w:rPr>
        <w:t>宜布置在电源、气源等的邻近处；</w:t>
      </w:r>
    </w:p>
    <w:p>
      <w:pPr>
        <w:pStyle w:val="8"/>
        <w:ind w:firstLine="480"/>
        <w:rPr>
          <w:sz w:val="24"/>
        </w:rPr>
      </w:pPr>
      <w:r>
        <w:rPr>
          <w:rFonts w:hint="eastAsia"/>
          <w:sz w:val="24"/>
        </w:rPr>
        <w:t>5</w:t>
      </w:r>
      <w:r>
        <w:rPr>
          <w:sz w:val="24"/>
        </w:rPr>
        <w:t xml:space="preserve"> </w:t>
      </w:r>
      <w:r>
        <w:rPr>
          <w:rFonts w:hint="eastAsia"/>
          <w:sz w:val="24"/>
        </w:rPr>
        <w:t>氢气站、供氢站或氢气储存压力容器区设置围墙，宜采用高度不小于2.5</w:t>
      </w:r>
      <w:r>
        <w:rPr>
          <w:sz w:val="24"/>
        </w:rPr>
        <w:t>m</w:t>
      </w:r>
      <w:r>
        <w:rPr>
          <w:rFonts w:hint="eastAsia"/>
          <w:sz w:val="24"/>
        </w:rPr>
        <w:t>的不燃烧体的实体围墙；</w:t>
      </w:r>
    </w:p>
    <w:p>
      <w:pPr>
        <w:pStyle w:val="8"/>
        <w:ind w:firstLine="480"/>
        <w:rPr>
          <w:sz w:val="24"/>
        </w:rPr>
      </w:pPr>
      <w:r>
        <w:rPr>
          <w:rFonts w:hint="eastAsia"/>
          <w:sz w:val="24"/>
        </w:rPr>
        <w:t>6</w:t>
      </w:r>
      <w:r>
        <w:rPr>
          <w:sz w:val="24"/>
        </w:rPr>
        <w:t xml:space="preserve"> 宜留有扩建的余地。</w:t>
      </w:r>
    </w:p>
    <w:p>
      <w:pPr>
        <w:pStyle w:val="8"/>
        <w:ind w:firstLine="0" w:firstLineChars="0"/>
        <w:rPr>
          <w:rFonts w:eastAsia="黑体"/>
          <w:sz w:val="24"/>
        </w:rPr>
      </w:pPr>
      <w:r>
        <w:rPr>
          <w:rFonts w:eastAsia="黑体"/>
          <w:sz w:val="24"/>
        </w:rPr>
        <w:t>3.0.2  氢气站、供氢站、</w:t>
      </w:r>
      <w:r>
        <w:rPr>
          <w:rFonts w:ascii="黑体" w:hAnsi="黑体" w:eastAsia="黑体"/>
          <w:sz w:val="24"/>
        </w:rPr>
        <w:t>氢气储存压力容器</w:t>
      </w:r>
      <w:r>
        <w:rPr>
          <w:rFonts w:eastAsia="黑体"/>
          <w:sz w:val="24"/>
        </w:rPr>
        <w:t>与建筑物、构筑物的防火间距，不应小于表3.0.2-1的规定，液氢</w:t>
      </w:r>
      <w:r>
        <w:rPr>
          <w:rFonts w:hint="eastAsia" w:eastAsia="黑体"/>
          <w:sz w:val="24"/>
        </w:rPr>
        <w:t>容器</w:t>
      </w:r>
      <w:r>
        <w:rPr>
          <w:rFonts w:eastAsia="黑体"/>
          <w:sz w:val="24"/>
        </w:rPr>
        <w:t>与建筑物、构筑物的防火间距，不应小于表3.0.2-2的规定。</w:t>
      </w:r>
    </w:p>
    <w:p>
      <w:pPr>
        <w:pStyle w:val="8"/>
        <w:ind w:firstLine="0" w:firstLineChars="0"/>
        <w:jc w:val="center"/>
        <w:rPr>
          <w:rFonts w:eastAsia="黑体"/>
          <w:sz w:val="21"/>
        </w:rPr>
      </w:pPr>
      <w:r>
        <w:rPr>
          <w:rFonts w:eastAsia="黑体"/>
          <w:sz w:val="21"/>
        </w:rPr>
        <w:t>表3.0.2-1 氢气站、供氢站、</w:t>
      </w:r>
      <w:r>
        <w:rPr>
          <w:rFonts w:hint="eastAsia" w:eastAsia="黑体"/>
          <w:sz w:val="21"/>
        </w:rPr>
        <w:t>氢气储存压力容器</w:t>
      </w:r>
      <w:r>
        <w:rPr>
          <w:rFonts w:eastAsia="黑体"/>
          <w:sz w:val="21"/>
        </w:rPr>
        <w:t>与建筑物、构筑物</w:t>
      </w:r>
      <w:r>
        <w:rPr>
          <w:rFonts w:hint="eastAsia" w:eastAsia="黑体"/>
          <w:sz w:val="21"/>
        </w:rPr>
        <w:t>等</w:t>
      </w:r>
      <w:r>
        <w:rPr>
          <w:rFonts w:eastAsia="黑体"/>
          <w:sz w:val="21"/>
        </w:rPr>
        <w:t>的防火间距（m）</w:t>
      </w:r>
    </w:p>
    <w:tbl>
      <w:tblPr>
        <w:tblStyle w:val="1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84"/>
        <w:gridCol w:w="474"/>
        <w:gridCol w:w="1195"/>
        <w:gridCol w:w="1127"/>
        <w:gridCol w:w="991"/>
        <w:gridCol w:w="1091"/>
        <w:gridCol w:w="1329"/>
        <w:gridCol w:w="1032"/>
        <w:gridCol w:w="119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Merge w:val="restart"/>
            <w:vAlign w:val="center"/>
          </w:tcPr>
          <w:p>
            <w:pPr>
              <w:pStyle w:val="8"/>
              <w:spacing w:line="360" w:lineRule="atLeast"/>
              <w:ind w:firstLine="0" w:firstLineChars="0"/>
              <w:jc w:val="center"/>
              <w:rPr>
                <w:rFonts w:eastAsia="黑体"/>
                <w:sz w:val="21"/>
              </w:rPr>
            </w:pPr>
            <w:r>
              <w:rPr>
                <w:rFonts w:eastAsia="黑体"/>
                <w:sz w:val="21"/>
              </w:rPr>
              <w:t>建筑物、构筑物</w:t>
            </w:r>
          </w:p>
        </w:tc>
        <w:tc>
          <w:tcPr>
            <w:tcW w:w="1127" w:type="dxa"/>
            <w:vMerge w:val="restart"/>
            <w:vAlign w:val="center"/>
          </w:tcPr>
          <w:p>
            <w:pPr>
              <w:pStyle w:val="8"/>
              <w:spacing w:line="360" w:lineRule="atLeast"/>
              <w:ind w:firstLine="0" w:firstLineChars="0"/>
              <w:jc w:val="center"/>
              <w:rPr>
                <w:rFonts w:eastAsia="黑体"/>
                <w:sz w:val="21"/>
              </w:rPr>
            </w:pPr>
            <w:r>
              <w:rPr>
                <w:rFonts w:eastAsia="黑体"/>
                <w:sz w:val="21"/>
              </w:rPr>
              <w:t>氢气站或</w:t>
            </w:r>
          </w:p>
          <w:p>
            <w:pPr>
              <w:pStyle w:val="8"/>
              <w:spacing w:line="360" w:lineRule="atLeast"/>
              <w:ind w:firstLine="0" w:firstLineChars="0"/>
              <w:jc w:val="center"/>
              <w:rPr>
                <w:rFonts w:eastAsia="黑体"/>
                <w:sz w:val="21"/>
              </w:rPr>
            </w:pPr>
            <w:r>
              <w:rPr>
                <w:rFonts w:eastAsia="黑体"/>
                <w:sz w:val="21"/>
              </w:rPr>
              <w:t>供氢站</w:t>
            </w:r>
          </w:p>
        </w:tc>
        <w:tc>
          <w:tcPr>
            <w:tcW w:w="6581" w:type="dxa"/>
            <w:gridSpan w:val="6"/>
            <w:vAlign w:val="center"/>
          </w:tcPr>
          <w:p>
            <w:pPr>
              <w:pStyle w:val="8"/>
              <w:spacing w:line="360" w:lineRule="atLeast"/>
              <w:ind w:firstLine="0" w:firstLineChars="0"/>
              <w:jc w:val="center"/>
              <w:rPr>
                <w:rFonts w:eastAsia="黑体"/>
                <w:sz w:val="21"/>
              </w:rPr>
            </w:pPr>
            <w:r>
              <w:rPr>
                <w:rFonts w:eastAsia="黑体"/>
                <w:sz w:val="21"/>
              </w:rPr>
              <w:t>氢气储存压力容器总</w:t>
            </w:r>
            <w:r>
              <w:rPr>
                <w:rFonts w:hint="eastAsia" w:eastAsia="黑体"/>
                <w:sz w:val="21"/>
              </w:rPr>
              <w:t>储氢量</w:t>
            </w:r>
            <w:r>
              <w:rPr>
                <w:rFonts w:hint="eastAsia" w:eastAsia="黑体"/>
                <w:i/>
                <w:sz w:val="21"/>
              </w:rPr>
              <w:t>V</w:t>
            </w:r>
            <w:r>
              <w:rPr>
                <w:rFonts w:eastAsia="黑体"/>
                <w:sz w:val="21"/>
              </w:rPr>
              <w:t>（</w:t>
            </w:r>
            <w:r>
              <w:rPr>
                <w:rFonts w:hint="eastAsia" w:eastAsia="黑体"/>
                <w:sz w:val="21"/>
              </w:rPr>
              <w:t>N</w:t>
            </w:r>
            <w:r>
              <w:rPr>
                <w:rFonts w:eastAsia="黑体"/>
                <w:sz w:val="21"/>
              </w:rPr>
              <w:t>m</w:t>
            </w:r>
            <w:r>
              <w:rPr>
                <w:rFonts w:eastAsia="黑体"/>
                <w:sz w:val="21"/>
                <w:vertAlign w:val="superscript"/>
              </w:rPr>
              <w:t>3</w:t>
            </w:r>
            <w:r>
              <w:rPr>
                <w:rFonts w:eastAsia="黑体"/>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Merge w:val="continue"/>
            <w:vAlign w:val="center"/>
          </w:tcPr>
          <w:p>
            <w:pPr>
              <w:pStyle w:val="8"/>
              <w:spacing w:line="360" w:lineRule="atLeast"/>
              <w:ind w:firstLine="0" w:firstLineChars="0"/>
              <w:jc w:val="center"/>
              <w:rPr>
                <w:rFonts w:eastAsia="黑体"/>
                <w:sz w:val="21"/>
              </w:rPr>
            </w:pPr>
          </w:p>
        </w:tc>
        <w:tc>
          <w:tcPr>
            <w:tcW w:w="1127" w:type="dxa"/>
            <w:vMerge w:val="continue"/>
            <w:vAlign w:val="center"/>
          </w:tcPr>
          <w:p>
            <w:pPr>
              <w:pStyle w:val="8"/>
              <w:spacing w:line="360" w:lineRule="atLeast"/>
              <w:ind w:firstLine="0" w:firstLineChars="0"/>
              <w:jc w:val="center"/>
              <w:rPr>
                <w:rFonts w:eastAsia="黑体"/>
                <w:sz w:val="21"/>
              </w:rPr>
            </w:pPr>
          </w:p>
        </w:tc>
        <w:tc>
          <w:tcPr>
            <w:tcW w:w="991" w:type="dxa"/>
            <w:vAlign w:val="center"/>
          </w:tcPr>
          <w:p>
            <w:pPr>
              <w:pStyle w:val="8"/>
              <w:spacing w:line="360" w:lineRule="atLeast"/>
              <w:ind w:firstLine="0" w:firstLineChars="0"/>
              <w:jc w:val="center"/>
              <w:rPr>
                <w:rFonts w:eastAsia="黑体"/>
                <w:sz w:val="21"/>
              </w:rPr>
            </w:pPr>
            <w:r>
              <w:rPr>
                <w:rFonts w:hint="eastAsia" w:eastAsia="黑体"/>
                <w:i/>
                <w:sz w:val="21"/>
              </w:rPr>
              <w:t>V</w:t>
            </w:r>
            <w:r>
              <w:rPr>
                <w:rFonts w:hint="eastAsia" w:eastAsia="黑体"/>
                <w:sz w:val="21"/>
              </w:rPr>
              <w:t>≤</w:t>
            </w:r>
            <w:r>
              <w:rPr>
                <w:rFonts w:eastAsia="黑体"/>
                <w:sz w:val="21"/>
              </w:rPr>
              <w:t>1000</w:t>
            </w:r>
          </w:p>
        </w:tc>
        <w:tc>
          <w:tcPr>
            <w:tcW w:w="1091" w:type="dxa"/>
            <w:vAlign w:val="center"/>
          </w:tcPr>
          <w:p>
            <w:pPr>
              <w:pStyle w:val="8"/>
              <w:spacing w:line="360" w:lineRule="atLeast"/>
              <w:ind w:firstLine="0" w:firstLineChars="0"/>
              <w:jc w:val="center"/>
              <w:rPr>
                <w:rFonts w:eastAsia="黑体"/>
                <w:sz w:val="21"/>
              </w:rPr>
            </w:pPr>
            <w:r>
              <w:rPr>
                <w:rFonts w:eastAsia="黑体"/>
                <w:sz w:val="21"/>
              </w:rPr>
              <w:t>100</w:t>
            </w:r>
            <w:r>
              <w:rPr>
                <w:rFonts w:hint="eastAsia" w:eastAsia="黑体"/>
                <w:sz w:val="21"/>
              </w:rPr>
              <w:t>0＜</w:t>
            </w:r>
            <w:r>
              <w:rPr>
                <w:rFonts w:hint="eastAsia" w:eastAsia="黑体"/>
                <w:i/>
                <w:sz w:val="21"/>
              </w:rPr>
              <w:t>V</w:t>
            </w:r>
            <w:r>
              <w:rPr>
                <w:rFonts w:hint="eastAsia" w:eastAsia="黑体"/>
                <w:sz w:val="21"/>
              </w:rPr>
              <w:t>≤</w:t>
            </w:r>
            <w:r>
              <w:rPr>
                <w:rFonts w:eastAsia="黑体"/>
                <w:sz w:val="21"/>
              </w:rPr>
              <w:t>10000</w:t>
            </w:r>
          </w:p>
        </w:tc>
        <w:tc>
          <w:tcPr>
            <w:tcW w:w="1329" w:type="dxa"/>
            <w:vAlign w:val="center"/>
          </w:tcPr>
          <w:p>
            <w:pPr>
              <w:pStyle w:val="8"/>
              <w:spacing w:line="360" w:lineRule="atLeast"/>
              <w:ind w:firstLine="0" w:firstLineChars="0"/>
              <w:jc w:val="center"/>
              <w:rPr>
                <w:rFonts w:eastAsia="黑体"/>
                <w:sz w:val="21"/>
              </w:rPr>
            </w:pPr>
            <w:r>
              <w:rPr>
                <w:rFonts w:eastAsia="黑体"/>
                <w:sz w:val="21"/>
              </w:rPr>
              <w:t>1000</w:t>
            </w:r>
            <w:r>
              <w:rPr>
                <w:rFonts w:hint="eastAsia" w:eastAsia="黑体"/>
                <w:sz w:val="21"/>
              </w:rPr>
              <w:t>0＜</w:t>
            </w:r>
            <w:r>
              <w:rPr>
                <w:rFonts w:hint="eastAsia" w:eastAsia="黑体"/>
                <w:i/>
                <w:sz w:val="21"/>
              </w:rPr>
              <w:t>V</w:t>
            </w:r>
            <w:r>
              <w:rPr>
                <w:rFonts w:hint="eastAsia" w:eastAsia="黑体"/>
                <w:sz w:val="21"/>
              </w:rPr>
              <w:t>≤</w:t>
            </w:r>
            <w:r>
              <w:rPr>
                <w:rFonts w:eastAsia="黑体"/>
                <w:sz w:val="21"/>
              </w:rPr>
              <w:t>50000</w:t>
            </w:r>
          </w:p>
        </w:tc>
        <w:tc>
          <w:tcPr>
            <w:tcW w:w="1032" w:type="dxa"/>
            <w:vAlign w:val="center"/>
          </w:tcPr>
          <w:p>
            <w:pPr>
              <w:pStyle w:val="8"/>
              <w:spacing w:line="360" w:lineRule="atLeast"/>
              <w:ind w:firstLine="0" w:firstLineChars="0"/>
              <w:jc w:val="center"/>
              <w:rPr>
                <w:rFonts w:eastAsia="黑体"/>
                <w:sz w:val="21"/>
                <w:highlight w:val="cyan"/>
              </w:rPr>
            </w:pPr>
            <w:r>
              <w:rPr>
                <w:rFonts w:eastAsia="黑体"/>
                <w:sz w:val="21"/>
              </w:rPr>
              <w:t>50000</w:t>
            </w:r>
            <w:r>
              <w:rPr>
                <w:rFonts w:hint="eastAsia" w:eastAsia="黑体"/>
                <w:sz w:val="21"/>
              </w:rPr>
              <w:t>＜</w:t>
            </w:r>
            <w:r>
              <w:rPr>
                <w:rFonts w:hint="eastAsia" w:eastAsia="黑体"/>
                <w:i/>
                <w:sz w:val="21"/>
              </w:rPr>
              <w:t>V</w:t>
            </w:r>
            <w:r>
              <w:rPr>
                <w:rFonts w:hint="eastAsia" w:eastAsia="黑体"/>
                <w:sz w:val="21"/>
              </w:rPr>
              <w:t>≤</w:t>
            </w:r>
            <w:r>
              <w:rPr>
                <w:rFonts w:eastAsia="黑体"/>
                <w:sz w:val="21"/>
              </w:rPr>
              <w:t>100000</w:t>
            </w:r>
          </w:p>
        </w:tc>
        <w:tc>
          <w:tcPr>
            <w:tcW w:w="1198" w:type="dxa"/>
            <w:vAlign w:val="center"/>
          </w:tcPr>
          <w:p>
            <w:pPr>
              <w:pStyle w:val="8"/>
              <w:spacing w:line="360" w:lineRule="atLeast"/>
              <w:ind w:firstLine="0" w:firstLineChars="0"/>
              <w:jc w:val="center"/>
              <w:rPr>
                <w:rFonts w:eastAsia="黑体"/>
                <w:sz w:val="21"/>
                <w:highlight w:val="cyan"/>
              </w:rPr>
            </w:pPr>
            <w:r>
              <w:rPr>
                <w:rFonts w:eastAsia="黑体"/>
                <w:sz w:val="21"/>
              </w:rPr>
              <w:t>100000</w:t>
            </w:r>
            <w:r>
              <w:rPr>
                <w:rFonts w:hint="eastAsia" w:eastAsia="黑体"/>
                <w:sz w:val="21"/>
              </w:rPr>
              <w:t>＜</w:t>
            </w:r>
            <w:r>
              <w:rPr>
                <w:rFonts w:hint="eastAsia" w:eastAsia="黑体"/>
                <w:i/>
                <w:sz w:val="21"/>
              </w:rPr>
              <w:t>V</w:t>
            </w:r>
            <w:r>
              <w:rPr>
                <w:rFonts w:hint="eastAsia" w:eastAsia="黑体"/>
                <w:sz w:val="21"/>
              </w:rPr>
              <w:t>≤</w:t>
            </w:r>
            <w:r>
              <w:rPr>
                <w:rFonts w:eastAsia="黑体"/>
                <w:sz w:val="21"/>
              </w:rPr>
              <w:t>300000</w:t>
            </w:r>
          </w:p>
        </w:tc>
        <w:tc>
          <w:tcPr>
            <w:tcW w:w="938" w:type="dxa"/>
            <w:vAlign w:val="center"/>
          </w:tcPr>
          <w:p>
            <w:pPr>
              <w:pStyle w:val="8"/>
              <w:spacing w:line="360" w:lineRule="atLeast"/>
              <w:ind w:firstLine="0" w:firstLineChars="0"/>
              <w:jc w:val="center"/>
              <w:rPr>
                <w:rFonts w:eastAsia="黑体"/>
                <w:sz w:val="21"/>
              </w:rPr>
            </w:pPr>
            <w:r>
              <w:rPr>
                <w:rFonts w:eastAsia="黑体"/>
                <w:sz w:val="21"/>
              </w:rPr>
              <w:t>300000</w:t>
            </w:r>
            <w:r>
              <w:rPr>
                <w:rFonts w:hint="eastAsia" w:eastAsia="黑体"/>
                <w:sz w:val="21"/>
              </w:rPr>
              <w:t>＜</w:t>
            </w:r>
            <w:r>
              <w:rPr>
                <w:rFonts w:hint="eastAsia" w:eastAsia="黑体"/>
                <w:i/>
                <w:sz w:val="21"/>
              </w:rPr>
              <w:t>V</w:t>
            </w:r>
            <w:r>
              <w:rPr>
                <w:rFonts w:hint="eastAsia" w:eastAsia="黑体"/>
                <w:sz w:val="21"/>
              </w:rPr>
              <w:t>≤</w:t>
            </w:r>
            <w:r>
              <w:rPr>
                <w:rFonts w:eastAsia="黑体"/>
                <w:sz w:val="21"/>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Align w:val="center"/>
          </w:tcPr>
          <w:p>
            <w:pPr>
              <w:pStyle w:val="8"/>
              <w:spacing w:line="360" w:lineRule="atLeast"/>
              <w:ind w:firstLine="0" w:firstLineChars="0"/>
              <w:jc w:val="center"/>
              <w:rPr>
                <w:rFonts w:eastAsia="黑体"/>
                <w:sz w:val="21"/>
                <w:highlight w:val="cyan"/>
              </w:rPr>
            </w:pPr>
            <w:r>
              <w:rPr>
                <w:rFonts w:eastAsia="黑体"/>
                <w:sz w:val="21"/>
              </w:rPr>
              <w:t>甲类仓库、</w:t>
            </w:r>
            <w:r>
              <w:rPr>
                <w:rFonts w:hint="eastAsia" w:eastAsia="黑体"/>
                <w:sz w:val="21"/>
              </w:rPr>
              <w:t>甲乙类厂房、</w:t>
            </w:r>
            <w:r>
              <w:rPr>
                <w:rFonts w:eastAsia="黑体"/>
                <w:sz w:val="21"/>
              </w:rPr>
              <w:t>甲乙丙类液体储罐、可燃材料堆场</w:t>
            </w:r>
          </w:p>
        </w:tc>
        <w:tc>
          <w:tcPr>
            <w:tcW w:w="1127" w:type="dxa"/>
            <w:vAlign w:val="center"/>
          </w:tcPr>
          <w:p>
            <w:pPr>
              <w:pStyle w:val="8"/>
              <w:spacing w:line="360" w:lineRule="atLeast"/>
              <w:ind w:firstLine="0" w:firstLineChars="0"/>
              <w:jc w:val="center"/>
              <w:rPr>
                <w:rFonts w:eastAsia="黑体"/>
                <w:sz w:val="21"/>
                <w:highlight w:val="cyan"/>
              </w:rPr>
            </w:pPr>
            <w:r>
              <w:rPr>
                <w:rFonts w:eastAsia="黑体"/>
                <w:sz w:val="21"/>
              </w:rPr>
              <w:t>20</w:t>
            </w:r>
          </w:p>
        </w:tc>
        <w:tc>
          <w:tcPr>
            <w:tcW w:w="991" w:type="dxa"/>
            <w:vAlign w:val="center"/>
          </w:tcPr>
          <w:p>
            <w:pPr>
              <w:pStyle w:val="8"/>
              <w:spacing w:line="360" w:lineRule="atLeast"/>
              <w:ind w:firstLine="0" w:firstLineChars="0"/>
              <w:jc w:val="center"/>
              <w:rPr>
                <w:rFonts w:eastAsia="黑体"/>
                <w:sz w:val="21"/>
                <w:highlight w:val="cyan"/>
              </w:rPr>
            </w:pPr>
            <w:r>
              <w:rPr>
                <w:rFonts w:eastAsia="黑体"/>
                <w:sz w:val="21"/>
              </w:rPr>
              <w:t>20</w:t>
            </w:r>
          </w:p>
        </w:tc>
        <w:tc>
          <w:tcPr>
            <w:tcW w:w="1091" w:type="dxa"/>
            <w:vAlign w:val="center"/>
          </w:tcPr>
          <w:p>
            <w:pPr>
              <w:pStyle w:val="8"/>
              <w:spacing w:line="360" w:lineRule="atLeast"/>
              <w:ind w:firstLine="0" w:firstLineChars="0"/>
              <w:jc w:val="center"/>
              <w:rPr>
                <w:rFonts w:eastAsia="黑体"/>
                <w:sz w:val="21"/>
                <w:highlight w:val="cyan"/>
              </w:rPr>
            </w:pPr>
            <w:r>
              <w:rPr>
                <w:rFonts w:eastAsia="黑体"/>
                <w:sz w:val="21"/>
              </w:rPr>
              <w:t>25</w:t>
            </w:r>
          </w:p>
        </w:tc>
        <w:tc>
          <w:tcPr>
            <w:tcW w:w="1329" w:type="dxa"/>
            <w:vAlign w:val="center"/>
          </w:tcPr>
          <w:p>
            <w:pPr>
              <w:pStyle w:val="8"/>
              <w:spacing w:line="360" w:lineRule="atLeast"/>
              <w:ind w:firstLine="0" w:firstLineChars="0"/>
              <w:jc w:val="center"/>
              <w:rPr>
                <w:rFonts w:eastAsia="黑体"/>
                <w:sz w:val="21"/>
                <w:highlight w:val="cyan"/>
              </w:rPr>
            </w:pPr>
            <w:r>
              <w:rPr>
                <w:rFonts w:eastAsia="黑体"/>
                <w:sz w:val="21"/>
              </w:rPr>
              <w:t>30</w:t>
            </w:r>
          </w:p>
        </w:tc>
        <w:tc>
          <w:tcPr>
            <w:tcW w:w="1032" w:type="dxa"/>
            <w:vAlign w:val="center"/>
          </w:tcPr>
          <w:p>
            <w:pPr>
              <w:pStyle w:val="8"/>
              <w:spacing w:line="360" w:lineRule="atLeast"/>
              <w:ind w:firstLine="0" w:firstLineChars="0"/>
              <w:jc w:val="center"/>
              <w:rPr>
                <w:rFonts w:eastAsia="黑体"/>
                <w:sz w:val="21"/>
                <w:highlight w:val="cyan"/>
              </w:rPr>
            </w:pPr>
            <w:r>
              <w:rPr>
                <w:rFonts w:eastAsia="黑体"/>
                <w:sz w:val="21"/>
              </w:rPr>
              <w:t>35</w:t>
            </w:r>
          </w:p>
        </w:tc>
        <w:tc>
          <w:tcPr>
            <w:tcW w:w="1198" w:type="dxa"/>
            <w:vAlign w:val="center"/>
          </w:tcPr>
          <w:p>
            <w:pPr>
              <w:pStyle w:val="8"/>
              <w:spacing w:line="360" w:lineRule="atLeast"/>
              <w:ind w:firstLine="0" w:firstLineChars="0"/>
              <w:jc w:val="center"/>
              <w:rPr>
                <w:rFonts w:eastAsia="黑体"/>
                <w:sz w:val="21"/>
                <w:highlight w:val="cyan"/>
              </w:rPr>
            </w:pPr>
            <w:r>
              <w:rPr>
                <w:rFonts w:eastAsia="黑体"/>
                <w:sz w:val="21"/>
              </w:rPr>
              <w:t>40</w:t>
            </w:r>
          </w:p>
        </w:tc>
        <w:tc>
          <w:tcPr>
            <w:tcW w:w="938" w:type="dxa"/>
            <w:vAlign w:val="center"/>
          </w:tcPr>
          <w:p>
            <w:pPr>
              <w:pStyle w:val="8"/>
              <w:spacing w:line="360" w:lineRule="atLeast"/>
              <w:ind w:firstLine="0" w:firstLineChars="0"/>
              <w:jc w:val="center"/>
              <w:rPr>
                <w:rFonts w:eastAsia="黑体"/>
                <w:sz w:val="21"/>
              </w:rPr>
            </w:pPr>
            <w:r>
              <w:rPr>
                <w:rFonts w:hint="eastAsia" w:eastAsia="黑体"/>
                <w:sz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984" w:type="dxa"/>
            <w:vAlign w:val="center"/>
          </w:tcPr>
          <w:p>
            <w:pPr>
              <w:pStyle w:val="8"/>
              <w:spacing w:line="360" w:lineRule="atLeast"/>
              <w:ind w:firstLine="0" w:firstLineChars="0"/>
              <w:jc w:val="center"/>
              <w:rPr>
                <w:rFonts w:eastAsia="黑体"/>
                <w:sz w:val="21"/>
              </w:rPr>
            </w:pPr>
            <w:r>
              <w:rPr>
                <w:rFonts w:eastAsia="黑体"/>
                <w:sz w:val="21"/>
              </w:rPr>
              <w:t>其它建筑物耐火等级</w:t>
            </w:r>
          </w:p>
        </w:tc>
        <w:tc>
          <w:tcPr>
            <w:tcW w:w="1668" w:type="dxa"/>
            <w:gridSpan w:val="2"/>
            <w:vAlign w:val="center"/>
          </w:tcPr>
          <w:p>
            <w:pPr>
              <w:pStyle w:val="8"/>
              <w:spacing w:line="360" w:lineRule="atLeast"/>
              <w:ind w:firstLine="0" w:firstLineChars="0"/>
              <w:jc w:val="center"/>
              <w:rPr>
                <w:rFonts w:eastAsia="黑体"/>
                <w:sz w:val="21"/>
              </w:rPr>
            </w:pPr>
            <w:r>
              <w:rPr>
                <w:rFonts w:eastAsia="黑体"/>
                <w:sz w:val="21"/>
              </w:rPr>
              <w:t>一、二级</w:t>
            </w:r>
          </w:p>
          <w:p>
            <w:pPr>
              <w:pStyle w:val="8"/>
              <w:spacing w:line="360" w:lineRule="atLeast"/>
              <w:ind w:firstLine="0" w:firstLineChars="0"/>
              <w:jc w:val="center"/>
              <w:rPr>
                <w:rFonts w:eastAsia="黑体"/>
                <w:sz w:val="21"/>
              </w:rPr>
            </w:pPr>
            <w:r>
              <w:rPr>
                <w:rFonts w:eastAsia="黑体"/>
                <w:sz w:val="21"/>
              </w:rPr>
              <w:t>三级</w:t>
            </w:r>
          </w:p>
          <w:p>
            <w:pPr>
              <w:pStyle w:val="8"/>
              <w:spacing w:line="360" w:lineRule="atLeast"/>
              <w:ind w:firstLine="0" w:firstLineChars="0"/>
              <w:jc w:val="center"/>
              <w:rPr>
                <w:rFonts w:eastAsia="黑体"/>
                <w:sz w:val="21"/>
              </w:rPr>
            </w:pPr>
            <w:r>
              <w:rPr>
                <w:rFonts w:eastAsia="黑体"/>
                <w:sz w:val="21"/>
              </w:rPr>
              <w:t>四级</w:t>
            </w:r>
          </w:p>
        </w:tc>
        <w:tc>
          <w:tcPr>
            <w:tcW w:w="1127" w:type="dxa"/>
            <w:vAlign w:val="center"/>
          </w:tcPr>
          <w:p>
            <w:pPr>
              <w:pStyle w:val="8"/>
              <w:spacing w:line="360" w:lineRule="atLeast"/>
              <w:ind w:firstLine="0" w:firstLineChars="0"/>
              <w:jc w:val="center"/>
              <w:rPr>
                <w:rFonts w:eastAsia="黑体"/>
                <w:sz w:val="21"/>
              </w:rPr>
            </w:pPr>
            <w:r>
              <w:rPr>
                <w:rFonts w:eastAsia="黑体"/>
                <w:sz w:val="21"/>
              </w:rPr>
              <w:t>12</w:t>
            </w:r>
          </w:p>
          <w:p>
            <w:pPr>
              <w:pStyle w:val="8"/>
              <w:spacing w:line="360" w:lineRule="atLeast"/>
              <w:ind w:firstLine="0" w:firstLineChars="0"/>
              <w:jc w:val="center"/>
              <w:rPr>
                <w:rFonts w:eastAsia="黑体"/>
                <w:sz w:val="21"/>
              </w:rPr>
            </w:pPr>
            <w:r>
              <w:rPr>
                <w:rFonts w:eastAsia="黑体"/>
                <w:sz w:val="21"/>
              </w:rPr>
              <w:t>14</w:t>
            </w:r>
          </w:p>
          <w:p>
            <w:pPr>
              <w:pStyle w:val="8"/>
              <w:spacing w:line="360" w:lineRule="atLeast"/>
              <w:ind w:firstLine="0" w:firstLineChars="0"/>
              <w:jc w:val="center"/>
              <w:rPr>
                <w:rFonts w:eastAsia="黑体"/>
                <w:sz w:val="21"/>
              </w:rPr>
            </w:pPr>
            <w:r>
              <w:rPr>
                <w:rFonts w:eastAsia="黑体"/>
                <w:sz w:val="21"/>
              </w:rPr>
              <w:t>16</w:t>
            </w:r>
          </w:p>
        </w:tc>
        <w:tc>
          <w:tcPr>
            <w:tcW w:w="991" w:type="dxa"/>
            <w:vAlign w:val="center"/>
          </w:tcPr>
          <w:p>
            <w:pPr>
              <w:pStyle w:val="8"/>
              <w:spacing w:line="360" w:lineRule="atLeast"/>
              <w:ind w:firstLine="0" w:firstLineChars="0"/>
              <w:jc w:val="center"/>
              <w:rPr>
                <w:rFonts w:eastAsia="黑体"/>
                <w:sz w:val="21"/>
              </w:rPr>
            </w:pPr>
            <w:r>
              <w:rPr>
                <w:rFonts w:eastAsia="黑体"/>
                <w:sz w:val="21"/>
              </w:rPr>
              <w:t>12</w:t>
            </w:r>
          </w:p>
          <w:p>
            <w:pPr>
              <w:pStyle w:val="8"/>
              <w:spacing w:line="360" w:lineRule="atLeast"/>
              <w:ind w:firstLine="0" w:firstLineChars="0"/>
              <w:jc w:val="center"/>
              <w:rPr>
                <w:rFonts w:eastAsia="黑体"/>
                <w:sz w:val="21"/>
              </w:rPr>
            </w:pPr>
            <w:r>
              <w:rPr>
                <w:rFonts w:eastAsia="黑体"/>
                <w:sz w:val="21"/>
              </w:rPr>
              <w:t>15</w:t>
            </w:r>
          </w:p>
          <w:p>
            <w:pPr>
              <w:pStyle w:val="8"/>
              <w:spacing w:line="360" w:lineRule="atLeast"/>
              <w:ind w:firstLine="0" w:firstLineChars="0"/>
              <w:jc w:val="center"/>
              <w:rPr>
                <w:rFonts w:eastAsia="黑体"/>
                <w:sz w:val="21"/>
              </w:rPr>
            </w:pPr>
            <w:r>
              <w:rPr>
                <w:rFonts w:eastAsia="黑体"/>
                <w:sz w:val="21"/>
              </w:rPr>
              <w:t>20</w:t>
            </w:r>
          </w:p>
        </w:tc>
        <w:tc>
          <w:tcPr>
            <w:tcW w:w="1091" w:type="dxa"/>
            <w:vAlign w:val="center"/>
          </w:tcPr>
          <w:p>
            <w:pPr>
              <w:pStyle w:val="8"/>
              <w:spacing w:line="360" w:lineRule="atLeast"/>
              <w:ind w:firstLine="0" w:firstLineChars="0"/>
              <w:jc w:val="center"/>
              <w:rPr>
                <w:rFonts w:eastAsia="黑体"/>
                <w:sz w:val="21"/>
              </w:rPr>
            </w:pPr>
            <w:r>
              <w:rPr>
                <w:rFonts w:eastAsia="黑体"/>
                <w:sz w:val="21"/>
              </w:rPr>
              <w:t>15</w:t>
            </w:r>
          </w:p>
          <w:p>
            <w:pPr>
              <w:pStyle w:val="8"/>
              <w:spacing w:line="360" w:lineRule="atLeast"/>
              <w:ind w:firstLine="0" w:firstLineChars="0"/>
              <w:jc w:val="center"/>
              <w:rPr>
                <w:rFonts w:eastAsia="黑体"/>
                <w:sz w:val="21"/>
              </w:rPr>
            </w:pPr>
            <w:r>
              <w:rPr>
                <w:rFonts w:eastAsia="黑体"/>
                <w:sz w:val="21"/>
              </w:rPr>
              <w:t>20</w:t>
            </w:r>
          </w:p>
          <w:p>
            <w:pPr>
              <w:pStyle w:val="8"/>
              <w:spacing w:line="360" w:lineRule="atLeast"/>
              <w:ind w:firstLine="0" w:firstLineChars="0"/>
              <w:jc w:val="center"/>
              <w:rPr>
                <w:rFonts w:eastAsia="黑体"/>
                <w:sz w:val="21"/>
              </w:rPr>
            </w:pPr>
            <w:r>
              <w:rPr>
                <w:rFonts w:eastAsia="黑体"/>
                <w:sz w:val="21"/>
              </w:rPr>
              <w:t>25</w:t>
            </w:r>
          </w:p>
        </w:tc>
        <w:tc>
          <w:tcPr>
            <w:tcW w:w="1329" w:type="dxa"/>
            <w:vAlign w:val="center"/>
          </w:tcPr>
          <w:p>
            <w:pPr>
              <w:pStyle w:val="8"/>
              <w:spacing w:line="360" w:lineRule="atLeast"/>
              <w:ind w:firstLine="0" w:firstLineChars="0"/>
              <w:jc w:val="center"/>
              <w:rPr>
                <w:rFonts w:eastAsia="黑体"/>
                <w:sz w:val="21"/>
              </w:rPr>
            </w:pPr>
            <w:r>
              <w:rPr>
                <w:rFonts w:eastAsia="黑体"/>
                <w:sz w:val="21"/>
              </w:rPr>
              <w:t>20</w:t>
            </w:r>
          </w:p>
          <w:p>
            <w:pPr>
              <w:pStyle w:val="8"/>
              <w:spacing w:line="360" w:lineRule="atLeast"/>
              <w:ind w:firstLine="0" w:firstLineChars="0"/>
              <w:jc w:val="center"/>
              <w:rPr>
                <w:rFonts w:eastAsia="黑体"/>
                <w:sz w:val="21"/>
              </w:rPr>
            </w:pPr>
            <w:r>
              <w:rPr>
                <w:rFonts w:eastAsia="黑体"/>
                <w:sz w:val="21"/>
              </w:rPr>
              <w:t>25</w:t>
            </w:r>
          </w:p>
          <w:p>
            <w:pPr>
              <w:pStyle w:val="8"/>
              <w:spacing w:line="360" w:lineRule="atLeast"/>
              <w:ind w:firstLine="0" w:firstLineChars="0"/>
              <w:jc w:val="center"/>
              <w:rPr>
                <w:rFonts w:eastAsia="黑体"/>
                <w:sz w:val="21"/>
              </w:rPr>
            </w:pPr>
            <w:r>
              <w:rPr>
                <w:rFonts w:eastAsia="黑体"/>
                <w:sz w:val="21"/>
              </w:rPr>
              <w:t>30</w:t>
            </w:r>
          </w:p>
        </w:tc>
        <w:tc>
          <w:tcPr>
            <w:tcW w:w="1032" w:type="dxa"/>
            <w:vAlign w:val="center"/>
          </w:tcPr>
          <w:p>
            <w:pPr>
              <w:pStyle w:val="8"/>
              <w:spacing w:line="360" w:lineRule="atLeast"/>
              <w:ind w:firstLine="0" w:firstLineChars="0"/>
              <w:jc w:val="center"/>
              <w:rPr>
                <w:rFonts w:eastAsia="黑体"/>
                <w:sz w:val="21"/>
              </w:rPr>
            </w:pPr>
            <w:r>
              <w:rPr>
                <w:rFonts w:eastAsia="黑体"/>
                <w:sz w:val="21"/>
              </w:rPr>
              <w:t>25</w:t>
            </w:r>
          </w:p>
          <w:p>
            <w:pPr>
              <w:pStyle w:val="8"/>
              <w:spacing w:line="360" w:lineRule="atLeast"/>
              <w:ind w:firstLine="0" w:firstLineChars="0"/>
              <w:jc w:val="center"/>
              <w:rPr>
                <w:rFonts w:eastAsia="黑体"/>
                <w:sz w:val="21"/>
              </w:rPr>
            </w:pPr>
            <w:r>
              <w:rPr>
                <w:rFonts w:eastAsia="黑体"/>
                <w:sz w:val="21"/>
              </w:rPr>
              <w:t>30</w:t>
            </w:r>
          </w:p>
          <w:p>
            <w:pPr>
              <w:pStyle w:val="8"/>
              <w:spacing w:line="360" w:lineRule="atLeast"/>
              <w:ind w:firstLine="0" w:firstLineChars="0"/>
              <w:jc w:val="center"/>
              <w:rPr>
                <w:rFonts w:eastAsia="黑体"/>
                <w:sz w:val="21"/>
                <w:highlight w:val="cyan"/>
              </w:rPr>
            </w:pPr>
            <w:r>
              <w:rPr>
                <w:rFonts w:eastAsia="黑体"/>
                <w:sz w:val="21"/>
              </w:rPr>
              <w:t>35</w:t>
            </w:r>
          </w:p>
        </w:tc>
        <w:tc>
          <w:tcPr>
            <w:tcW w:w="1198" w:type="dxa"/>
            <w:vAlign w:val="center"/>
          </w:tcPr>
          <w:p>
            <w:pPr>
              <w:pStyle w:val="8"/>
              <w:spacing w:line="360" w:lineRule="atLeast"/>
              <w:ind w:firstLine="0" w:firstLineChars="0"/>
              <w:jc w:val="center"/>
              <w:rPr>
                <w:rFonts w:eastAsia="黑体"/>
                <w:sz w:val="21"/>
              </w:rPr>
            </w:pPr>
            <w:r>
              <w:rPr>
                <w:rFonts w:eastAsia="黑体"/>
                <w:sz w:val="21"/>
              </w:rPr>
              <w:t>30</w:t>
            </w:r>
          </w:p>
          <w:p>
            <w:pPr>
              <w:pStyle w:val="8"/>
              <w:spacing w:line="360" w:lineRule="atLeast"/>
              <w:ind w:firstLine="0" w:firstLineChars="0"/>
              <w:jc w:val="center"/>
              <w:rPr>
                <w:rFonts w:eastAsia="黑体"/>
                <w:sz w:val="21"/>
              </w:rPr>
            </w:pPr>
            <w:r>
              <w:rPr>
                <w:rFonts w:eastAsia="黑体"/>
                <w:sz w:val="21"/>
              </w:rPr>
              <w:t>35</w:t>
            </w:r>
          </w:p>
          <w:p>
            <w:pPr>
              <w:pStyle w:val="8"/>
              <w:spacing w:line="360" w:lineRule="atLeast"/>
              <w:ind w:firstLine="0" w:firstLineChars="0"/>
              <w:jc w:val="center"/>
              <w:rPr>
                <w:rFonts w:eastAsia="黑体"/>
                <w:sz w:val="21"/>
                <w:highlight w:val="cyan"/>
              </w:rPr>
            </w:pPr>
            <w:r>
              <w:rPr>
                <w:rFonts w:eastAsia="黑体"/>
                <w:sz w:val="21"/>
              </w:rPr>
              <w:t>40</w:t>
            </w:r>
          </w:p>
        </w:tc>
        <w:tc>
          <w:tcPr>
            <w:tcW w:w="938" w:type="dxa"/>
            <w:vAlign w:val="center"/>
          </w:tcPr>
          <w:p>
            <w:pPr>
              <w:pStyle w:val="8"/>
              <w:spacing w:line="360" w:lineRule="atLeast"/>
              <w:ind w:firstLine="0" w:firstLineChars="0"/>
              <w:jc w:val="center"/>
              <w:rPr>
                <w:rFonts w:eastAsia="黑体"/>
                <w:sz w:val="21"/>
              </w:rPr>
            </w:pPr>
            <w:r>
              <w:rPr>
                <w:rFonts w:hint="eastAsia" w:eastAsia="黑体"/>
                <w:sz w:val="21"/>
              </w:rPr>
              <w:t>35</w:t>
            </w:r>
          </w:p>
          <w:p>
            <w:pPr>
              <w:pStyle w:val="8"/>
              <w:spacing w:line="360" w:lineRule="atLeast"/>
              <w:ind w:firstLine="0" w:firstLineChars="0"/>
              <w:jc w:val="center"/>
              <w:rPr>
                <w:rFonts w:eastAsia="黑体"/>
                <w:sz w:val="21"/>
              </w:rPr>
            </w:pPr>
            <w:r>
              <w:rPr>
                <w:rFonts w:eastAsia="黑体"/>
                <w:sz w:val="21"/>
              </w:rPr>
              <w:t>40</w:t>
            </w:r>
          </w:p>
          <w:p>
            <w:pPr>
              <w:pStyle w:val="8"/>
              <w:spacing w:line="360" w:lineRule="atLeast"/>
              <w:ind w:firstLine="0" w:firstLineChars="0"/>
              <w:jc w:val="center"/>
              <w:rPr>
                <w:rFonts w:eastAsia="黑体"/>
                <w:sz w:val="21"/>
              </w:rPr>
            </w:pPr>
            <w:r>
              <w:rPr>
                <w:rFonts w:eastAsia="黑体"/>
                <w:sz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Align w:val="center"/>
          </w:tcPr>
          <w:p>
            <w:pPr>
              <w:pStyle w:val="8"/>
              <w:spacing w:line="360" w:lineRule="atLeast"/>
              <w:ind w:firstLine="0" w:firstLineChars="0"/>
              <w:jc w:val="center"/>
              <w:rPr>
                <w:rFonts w:eastAsia="黑体"/>
                <w:sz w:val="21"/>
              </w:rPr>
            </w:pPr>
            <w:r>
              <w:rPr>
                <w:rFonts w:eastAsia="黑体"/>
                <w:sz w:val="21"/>
              </w:rPr>
              <w:t>裙房，单、多层民用建筑</w:t>
            </w:r>
          </w:p>
        </w:tc>
        <w:tc>
          <w:tcPr>
            <w:tcW w:w="1127" w:type="dxa"/>
            <w:vAlign w:val="center"/>
          </w:tcPr>
          <w:p>
            <w:pPr>
              <w:pStyle w:val="8"/>
              <w:spacing w:line="360" w:lineRule="atLeast"/>
              <w:ind w:firstLine="0" w:firstLineChars="0"/>
              <w:jc w:val="center"/>
              <w:rPr>
                <w:rFonts w:eastAsia="黑体"/>
                <w:sz w:val="21"/>
              </w:rPr>
            </w:pPr>
            <w:r>
              <w:rPr>
                <w:rFonts w:eastAsia="黑体"/>
                <w:sz w:val="21"/>
              </w:rPr>
              <w:t>20</w:t>
            </w:r>
          </w:p>
        </w:tc>
        <w:tc>
          <w:tcPr>
            <w:tcW w:w="991" w:type="dxa"/>
            <w:vAlign w:val="center"/>
          </w:tcPr>
          <w:p>
            <w:pPr>
              <w:pStyle w:val="8"/>
              <w:spacing w:line="360" w:lineRule="atLeast"/>
              <w:ind w:firstLine="0" w:firstLineChars="0"/>
              <w:jc w:val="center"/>
              <w:rPr>
                <w:rFonts w:eastAsia="黑体"/>
                <w:sz w:val="21"/>
              </w:rPr>
            </w:pPr>
            <w:r>
              <w:rPr>
                <w:rFonts w:eastAsia="黑体"/>
                <w:sz w:val="21"/>
              </w:rPr>
              <w:t>18</w:t>
            </w:r>
          </w:p>
        </w:tc>
        <w:tc>
          <w:tcPr>
            <w:tcW w:w="1091" w:type="dxa"/>
            <w:vAlign w:val="center"/>
          </w:tcPr>
          <w:p>
            <w:pPr>
              <w:pStyle w:val="8"/>
              <w:spacing w:line="360" w:lineRule="atLeast"/>
              <w:ind w:firstLine="0" w:firstLineChars="0"/>
              <w:jc w:val="center"/>
              <w:rPr>
                <w:rFonts w:eastAsia="黑体"/>
                <w:sz w:val="21"/>
              </w:rPr>
            </w:pPr>
            <w:r>
              <w:rPr>
                <w:rFonts w:eastAsia="黑体"/>
                <w:sz w:val="21"/>
              </w:rPr>
              <w:t>20</w:t>
            </w:r>
          </w:p>
        </w:tc>
        <w:tc>
          <w:tcPr>
            <w:tcW w:w="1329" w:type="dxa"/>
            <w:vAlign w:val="center"/>
          </w:tcPr>
          <w:p>
            <w:pPr>
              <w:pStyle w:val="8"/>
              <w:spacing w:line="360" w:lineRule="atLeast"/>
              <w:ind w:firstLine="0" w:firstLineChars="0"/>
              <w:jc w:val="center"/>
              <w:rPr>
                <w:rFonts w:eastAsia="黑体"/>
                <w:sz w:val="21"/>
              </w:rPr>
            </w:pPr>
            <w:r>
              <w:rPr>
                <w:rFonts w:eastAsia="黑体"/>
                <w:sz w:val="21"/>
              </w:rPr>
              <w:t>25</w:t>
            </w:r>
          </w:p>
        </w:tc>
        <w:tc>
          <w:tcPr>
            <w:tcW w:w="1032" w:type="dxa"/>
            <w:vAlign w:val="center"/>
          </w:tcPr>
          <w:p>
            <w:pPr>
              <w:pStyle w:val="8"/>
              <w:spacing w:line="360" w:lineRule="atLeast"/>
              <w:ind w:firstLine="0" w:firstLineChars="0"/>
              <w:jc w:val="center"/>
              <w:rPr>
                <w:rFonts w:eastAsia="黑体"/>
                <w:sz w:val="21"/>
                <w:highlight w:val="cyan"/>
              </w:rPr>
            </w:pPr>
            <w:r>
              <w:rPr>
                <w:rFonts w:eastAsia="黑体"/>
                <w:sz w:val="21"/>
              </w:rPr>
              <w:t>30</w:t>
            </w:r>
          </w:p>
        </w:tc>
        <w:tc>
          <w:tcPr>
            <w:tcW w:w="1198" w:type="dxa"/>
            <w:vAlign w:val="center"/>
          </w:tcPr>
          <w:p>
            <w:pPr>
              <w:pStyle w:val="8"/>
              <w:spacing w:line="360" w:lineRule="atLeast"/>
              <w:ind w:firstLine="0" w:firstLineChars="0"/>
              <w:jc w:val="center"/>
              <w:rPr>
                <w:rFonts w:eastAsia="黑体"/>
                <w:sz w:val="21"/>
                <w:highlight w:val="cyan"/>
              </w:rPr>
            </w:pPr>
            <w:r>
              <w:rPr>
                <w:rFonts w:eastAsia="黑体"/>
                <w:sz w:val="21"/>
              </w:rPr>
              <w:t>35</w:t>
            </w:r>
          </w:p>
        </w:tc>
        <w:tc>
          <w:tcPr>
            <w:tcW w:w="938" w:type="dxa"/>
            <w:vAlign w:val="center"/>
          </w:tcPr>
          <w:p>
            <w:pPr>
              <w:pStyle w:val="8"/>
              <w:spacing w:line="360" w:lineRule="atLeast"/>
              <w:ind w:firstLine="0" w:firstLineChars="0"/>
              <w:jc w:val="center"/>
              <w:rPr>
                <w:rFonts w:eastAsia="黑体"/>
                <w:sz w:val="21"/>
              </w:rPr>
            </w:pPr>
            <w:r>
              <w:rPr>
                <w:rFonts w:hint="eastAsia" w:eastAsia="黑体"/>
                <w:sz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Align w:val="center"/>
          </w:tcPr>
          <w:p>
            <w:pPr>
              <w:pStyle w:val="8"/>
              <w:spacing w:line="360" w:lineRule="atLeast"/>
              <w:ind w:firstLine="0" w:firstLineChars="0"/>
              <w:jc w:val="center"/>
              <w:rPr>
                <w:rFonts w:eastAsia="黑体"/>
                <w:sz w:val="21"/>
              </w:rPr>
            </w:pPr>
            <w:r>
              <w:rPr>
                <w:rFonts w:eastAsia="黑体"/>
                <w:sz w:val="21"/>
              </w:rPr>
              <w:t>高层民用建筑</w:t>
            </w:r>
          </w:p>
        </w:tc>
        <w:tc>
          <w:tcPr>
            <w:tcW w:w="1127" w:type="dxa"/>
            <w:vAlign w:val="center"/>
          </w:tcPr>
          <w:p>
            <w:pPr>
              <w:pStyle w:val="8"/>
              <w:spacing w:line="360" w:lineRule="atLeast"/>
              <w:ind w:firstLine="0" w:firstLineChars="0"/>
              <w:jc w:val="center"/>
              <w:rPr>
                <w:rFonts w:eastAsia="黑体"/>
                <w:sz w:val="21"/>
              </w:rPr>
            </w:pPr>
            <w:r>
              <w:rPr>
                <w:rFonts w:eastAsia="黑体"/>
                <w:sz w:val="21"/>
              </w:rPr>
              <w:t>25</w:t>
            </w:r>
          </w:p>
        </w:tc>
        <w:tc>
          <w:tcPr>
            <w:tcW w:w="991" w:type="dxa"/>
            <w:vAlign w:val="center"/>
          </w:tcPr>
          <w:p>
            <w:pPr>
              <w:pStyle w:val="8"/>
              <w:spacing w:line="360" w:lineRule="atLeast"/>
              <w:ind w:firstLine="0" w:firstLineChars="0"/>
              <w:jc w:val="center"/>
              <w:rPr>
                <w:rFonts w:eastAsia="黑体"/>
                <w:sz w:val="21"/>
              </w:rPr>
            </w:pPr>
            <w:r>
              <w:rPr>
                <w:rFonts w:eastAsia="黑体"/>
                <w:sz w:val="21"/>
              </w:rPr>
              <w:t>25</w:t>
            </w:r>
          </w:p>
        </w:tc>
        <w:tc>
          <w:tcPr>
            <w:tcW w:w="1091" w:type="dxa"/>
            <w:vAlign w:val="center"/>
          </w:tcPr>
          <w:p>
            <w:pPr>
              <w:pStyle w:val="8"/>
              <w:spacing w:line="360" w:lineRule="atLeast"/>
              <w:ind w:firstLine="0" w:firstLineChars="0"/>
              <w:jc w:val="center"/>
              <w:rPr>
                <w:rFonts w:eastAsia="黑体"/>
                <w:sz w:val="21"/>
              </w:rPr>
            </w:pPr>
            <w:r>
              <w:rPr>
                <w:rFonts w:eastAsia="黑体"/>
                <w:sz w:val="21"/>
              </w:rPr>
              <w:t>30</w:t>
            </w:r>
          </w:p>
        </w:tc>
        <w:tc>
          <w:tcPr>
            <w:tcW w:w="1329" w:type="dxa"/>
            <w:vAlign w:val="center"/>
          </w:tcPr>
          <w:p>
            <w:pPr>
              <w:pStyle w:val="8"/>
              <w:spacing w:line="360" w:lineRule="atLeast"/>
              <w:ind w:firstLine="0" w:firstLineChars="0"/>
              <w:jc w:val="center"/>
              <w:rPr>
                <w:rFonts w:eastAsia="黑体"/>
                <w:sz w:val="21"/>
              </w:rPr>
            </w:pPr>
            <w:r>
              <w:rPr>
                <w:rFonts w:eastAsia="黑体"/>
                <w:sz w:val="21"/>
              </w:rPr>
              <w:t>35</w:t>
            </w:r>
          </w:p>
        </w:tc>
        <w:tc>
          <w:tcPr>
            <w:tcW w:w="1032" w:type="dxa"/>
            <w:vAlign w:val="center"/>
          </w:tcPr>
          <w:p>
            <w:pPr>
              <w:pStyle w:val="8"/>
              <w:spacing w:line="360" w:lineRule="atLeast"/>
              <w:ind w:firstLine="0" w:firstLineChars="0"/>
              <w:jc w:val="center"/>
              <w:rPr>
                <w:rFonts w:eastAsia="黑体"/>
                <w:sz w:val="21"/>
                <w:highlight w:val="cyan"/>
              </w:rPr>
            </w:pPr>
            <w:r>
              <w:rPr>
                <w:rFonts w:eastAsia="黑体"/>
                <w:sz w:val="21"/>
              </w:rPr>
              <w:t>40</w:t>
            </w:r>
          </w:p>
        </w:tc>
        <w:tc>
          <w:tcPr>
            <w:tcW w:w="1198" w:type="dxa"/>
            <w:vAlign w:val="center"/>
          </w:tcPr>
          <w:p>
            <w:pPr>
              <w:pStyle w:val="8"/>
              <w:spacing w:line="360" w:lineRule="atLeast"/>
              <w:ind w:firstLine="0" w:firstLineChars="0"/>
              <w:jc w:val="center"/>
              <w:rPr>
                <w:rFonts w:eastAsia="黑体"/>
                <w:sz w:val="21"/>
                <w:highlight w:val="cyan"/>
              </w:rPr>
            </w:pPr>
            <w:r>
              <w:rPr>
                <w:rFonts w:eastAsia="黑体"/>
                <w:sz w:val="21"/>
              </w:rPr>
              <w:t>45</w:t>
            </w:r>
          </w:p>
        </w:tc>
        <w:tc>
          <w:tcPr>
            <w:tcW w:w="938" w:type="dxa"/>
            <w:vAlign w:val="center"/>
          </w:tcPr>
          <w:p>
            <w:pPr>
              <w:pStyle w:val="8"/>
              <w:spacing w:line="360" w:lineRule="atLeast"/>
              <w:ind w:firstLine="0" w:firstLineChars="0"/>
              <w:jc w:val="center"/>
              <w:rPr>
                <w:rFonts w:eastAsia="黑体"/>
                <w:sz w:val="21"/>
              </w:rPr>
            </w:pPr>
            <w:r>
              <w:rPr>
                <w:rFonts w:hint="eastAsia" w:eastAsia="黑体"/>
                <w:sz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Align w:val="center"/>
          </w:tcPr>
          <w:p>
            <w:pPr>
              <w:pStyle w:val="8"/>
              <w:spacing w:line="360" w:lineRule="atLeast"/>
              <w:ind w:firstLine="0" w:firstLineChars="0"/>
              <w:jc w:val="center"/>
              <w:rPr>
                <w:rFonts w:eastAsia="黑体"/>
                <w:sz w:val="21"/>
              </w:rPr>
            </w:pPr>
            <w:r>
              <w:rPr>
                <w:rFonts w:eastAsia="黑体"/>
                <w:sz w:val="21"/>
              </w:rPr>
              <w:t>重要公共建筑</w:t>
            </w:r>
          </w:p>
        </w:tc>
        <w:tc>
          <w:tcPr>
            <w:tcW w:w="1127" w:type="dxa"/>
            <w:vAlign w:val="center"/>
          </w:tcPr>
          <w:p>
            <w:pPr>
              <w:pStyle w:val="8"/>
              <w:spacing w:line="360" w:lineRule="atLeast"/>
              <w:ind w:firstLine="0" w:firstLineChars="0"/>
              <w:jc w:val="center"/>
              <w:rPr>
                <w:rFonts w:eastAsia="黑体"/>
                <w:sz w:val="21"/>
              </w:rPr>
            </w:pPr>
            <w:r>
              <w:rPr>
                <w:rFonts w:eastAsia="黑体"/>
                <w:sz w:val="21"/>
              </w:rPr>
              <w:t>50</w:t>
            </w:r>
          </w:p>
        </w:tc>
        <w:tc>
          <w:tcPr>
            <w:tcW w:w="6581" w:type="dxa"/>
            <w:gridSpan w:val="6"/>
            <w:vAlign w:val="center"/>
          </w:tcPr>
          <w:p>
            <w:pPr>
              <w:pStyle w:val="8"/>
              <w:spacing w:line="360" w:lineRule="atLeast"/>
              <w:ind w:firstLine="0" w:firstLineChars="0"/>
              <w:jc w:val="center"/>
              <w:rPr>
                <w:rFonts w:eastAsia="黑体"/>
                <w:sz w:val="21"/>
              </w:rPr>
            </w:pPr>
            <w:r>
              <w:rPr>
                <w:rFonts w:eastAsia="黑体"/>
                <w:sz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Align w:val="center"/>
          </w:tcPr>
          <w:p>
            <w:pPr>
              <w:pStyle w:val="8"/>
              <w:spacing w:line="240" w:lineRule="auto"/>
              <w:ind w:firstLine="0" w:firstLineChars="0"/>
              <w:jc w:val="center"/>
              <w:rPr>
                <w:rFonts w:eastAsia="黑体"/>
                <w:sz w:val="21"/>
              </w:rPr>
            </w:pPr>
            <w:r>
              <w:rPr>
                <w:rFonts w:eastAsia="黑体"/>
                <w:sz w:val="21"/>
              </w:rPr>
              <w:t>35～500kV且每台变压器为10000kVA以上室外变配电站以及总油量超过5t的总降压站</w:t>
            </w:r>
          </w:p>
        </w:tc>
        <w:tc>
          <w:tcPr>
            <w:tcW w:w="1127" w:type="dxa"/>
            <w:vAlign w:val="center"/>
          </w:tcPr>
          <w:p>
            <w:pPr>
              <w:pStyle w:val="8"/>
              <w:spacing w:line="360" w:lineRule="atLeast"/>
              <w:ind w:firstLine="0" w:firstLineChars="0"/>
              <w:jc w:val="center"/>
              <w:rPr>
                <w:rFonts w:eastAsia="黑体"/>
                <w:sz w:val="21"/>
              </w:rPr>
            </w:pPr>
            <w:r>
              <w:rPr>
                <w:rFonts w:eastAsia="黑体"/>
                <w:sz w:val="21"/>
              </w:rPr>
              <w:t>25</w:t>
            </w:r>
          </w:p>
        </w:tc>
        <w:tc>
          <w:tcPr>
            <w:tcW w:w="991" w:type="dxa"/>
            <w:vAlign w:val="center"/>
          </w:tcPr>
          <w:p>
            <w:pPr>
              <w:pStyle w:val="8"/>
              <w:spacing w:line="360" w:lineRule="atLeast"/>
              <w:ind w:firstLine="0" w:firstLineChars="0"/>
              <w:jc w:val="center"/>
              <w:rPr>
                <w:rFonts w:eastAsia="黑体"/>
                <w:sz w:val="21"/>
              </w:rPr>
            </w:pPr>
            <w:r>
              <w:rPr>
                <w:rFonts w:eastAsia="黑体"/>
                <w:sz w:val="21"/>
              </w:rPr>
              <w:t>25</w:t>
            </w:r>
          </w:p>
        </w:tc>
        <w:tc>
          <w:tcPr>
            <w:tcW w:w="1091" w:type="dxa"/>
            <w:vAlign w:val="center"/>
          </w:tcPr>
          <w:p>
            <w:pPr>
              <w:pStyle w:val="8"/>
              <w:spacing w:line="360" w:lineRule="atLeast"/>
              <w:ind w:firstLine="0" w:firstLineChars="0"/>
              <w:jc w:val="center"/>
              <w:rPr>
                <w:rFonts w:eastAsia="黑体"/>
                <w:sz w:val="21"/>
              </w:rPr>
            </w:pPr>
            <w:r>
              <w:rPr>
                <w:rFonts w:eastAsia="黑体"/>
                <w:sz w:val="21"/>
              </w:rPr>
              <w:t>30</w:t>
            </w:r>
          </w:p>
        </w:tc>
        <w:tc>
          <w:tcPr>
            <w:tcW w:w="1329" w:type="dxa"/>
            <w:vAlign w:val="center"/>
          </w:tcPr>
          <w:p>
            <w:pPr>
              <w:pStyle w:val="8"/>
              <w:spacing w:line="360" w:lineRule="atLeast"/>
              <w:ind w:firstLine="0" w:firstLineChars="0"/>
              <w:jc w:val="center"/>
              <w:rPr>
                <w:rFonts w:eastAsia="黑体"/>
                <w:sz w:val="21"/>
              </w:rPr>
            </w:pPr>
            <w:r>
              <w:rPr>
                <w:rFonts w:eastAsia="黑体"/>
                <w:sz w:val="21"/>
              </w:rPr>
              <w:t>35</w:t>
            </w:r>
          </w:p>
        </w:tc>
        <w:tc>
          <w:tcPr>
            <w:tcW w:w="1032" w:type="dxa"/>
            <w:vAlign w:val="center"/>
          </w:tcPr>
          <w:p>
            <w:pPr>
              <w:pStyle w:val="8"/>
              <w:spacing w:line="360" w:lineRule="atLeast"/>
              <w:ind w:firstLine="0" w:firstLineChars="0"/>
              <w:jc w:val="center"/>
              <w:rPr>
                <w:rFonts w:eastAsia="黑体"/>
                <w:sz w:val="21"/>
                <w:highlight w:val="cyan"/>
              </w:rPr>
            </w:pPr>
            <w:r>
              <w:rPr>
                <w:rFonts w:eastAsia="黑体"/>
                <w:sz w:val="21"/>
              </w:rPr>
              <w:t>40</w:t>
            </w:r>
          </w:p>
        </w:tc>
        <w:tc>
          <w:tcPr>
            <w:tcW w:w="1198" w:type="dxa"/>
            <w:vAlign w:val="center"/>
          </w:tcPr>
          <w:p>
            <w:pPr>
              <w:pStyle w:val="8"/>
              <w:spacing w:line="360" w:lineRule="atLeast"/>
              <w:ind w:firstLine="0" w:firstLineChars="0"/>
              <w:jc w:val="center"/>
              <w:rPr>
                <w:rFonts w:eastAsia="黑体"/>
                <w:sz w:val="21"/>
                <w:highlight w:val="green"/>
              </w:rPr>
            </w:pPr>
            <w:r>
              <w:rPr>
                <w:rFonts w:hint="eastAsia" w:eastAsia="黑体"/>
                <w:sz w:val="21"/>
              </w:rPr>
              <w:t>45</w:t>
            </w:r>
          </w:p>
        </w:tc>
        <w:tc>
          <w:tcPr>
            <w:tcW w:w="938" w:type="dxa"/>
            <w:vAlign w:val="center"/>
          </w:tcPr>
          <w:p>
            <w:pPr>
              <w:pStyle w:val="8"/>
              <w:spacing w:line="360" w:lineRule="atLeast"/>
              <w:ind w:firstLine="0" w:firstLineChars="0"/>
              <w:jc w:val="center"/>
              <w:rPr>
                <w:rFonts w:eastAsia="黑体"/>
                <w:sz w:val="21"/>
              </w:rPr>
            </w:pPr>
            <w:r>
              <w:rPr>
                <w:rFonts w:hint="eastAsia" w:eastAsia="黑体"/>
                <w:sz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Align w:val="center"/>
          </w:tcPr>
          <w:p>
            <w:pPr>
              <w:pStyle w:val="8"/>
              <w:spacing w:line="360" w:lineRule="atLeast"/>
              <w:ind w:firstLine="0" w:firstLineChars="0"/>
              <w:jc w:val="center"/>
              <w:rPr>
                <w:rFonts w:eastAsia="黑体"/>
                <w:sz w:val="18"/>
              </w:rPr>
            </w:pPr>
            <w:r>
              <w:rPr>
                <w:rFonts w:eastAsia="黑体"/>
                <w:sz w:val="18"/>
              </w:rPr>
              <w:t>明火或散发火花的地点</w:t>
            </w:r>
          </w:p>
        </w:tc>
        <w:tc>
          <w:tcPr>
            <w:tcW w:w="1127" w:type="dxa"/>
            <w:vAlign w:val="center"/>
          </w:tcPr>
          <w:p>
            <w:pPr>
              <w:pStyle w:val="8"/>
              <w:spacing w:line="360" w:lineRule="atLeast"/>
              <w:ind w:firstLine="0" w:firstLineChars="0"/>
              <w:jc w:val="center"/>
              <w:rPr>
                <w:rFonts w:eastAsia="黑体"/>
                <w:sz w:val="21"/>
              </w:rPr>
            </w:pPr>
            <w:r>
              <w:rPr>
                <w:rFonts w:eastAsia="黑体"/>
                <w:sz w:val="21"/>
              </w:rPr>
              <w:t>30</w:t>
            </w:r>
          </w:p>
        </w:tc>
        <w:tc>
          <w:tcPr>
            <w:tcW w:w="991" w:type="dxa"/>
            <w:vAlign w:val="center"/>
          </w:tcPr>
          <w:p>
            <w:pPr>
              <w:pStyle w:val="8"/>
              <w:spacing w:line="360" w:lineRule="atLeast"/>
              <w:ind w:firstLine="0" w:firstLineChars="0"/>
              <w:jc w:val="center"/>
              <w:rPr>
                <w:rFonts w:eastAsia="黑体"/>
                <w:sz w:val="21"/>
              </w:rPr>
            </w:pPr>
            <w:r>
              <w:rPr>
                <w:rFonts w:eastAsia="黑体"/>
                <w:sz w:val="21"/>
              </w:rPr>
              <w:t>25</w:t>
            </w:r>
          </w:p>
        </w:tc>
        <w:tc>
          <w:tcPr>
            <w:tcW w:w="1091" w:type="dxa"/>
            <w:vAlign w:val="center"/>
          </w:tcPr>
          <w:p>
            <w:pPr>
              <w:pStyle w:val="8"/>
              <w:spacing w:line="360" w:lineRule="atLeast"/>
              <w:ind w:firstLine="0" w:firstLineChars="0"/>
              <w:jc w:val="center"/>
              <w:rPr>
                <w:rFonts w:eastAsia="黑体"/>
                <w:sz w:val="21"/>
              </w:rPr>
            </w:pPr>
            <w:r>
              <w:rPr>
                <w:rFonts w:eastAsia="黑体"/>
                <w:sz w:val="21"/>
              </w:rPr>
              <w:t>30</w:t>
            </w:r>
          </w:p>
        </w:tc>
        <w:tc>
          <w:tcPr>
            <w:tcW w:w="1329" w:type="dxa"/>
            <w:vAlign w:val="center"/>
          </w:tcPr>
          <w:p>
            <w:pPr>
              <w:pStyle w:val="8"/>
              <w:spacing w:line="360" w:lineRule="atLeast"/>
              <w:ind w:firstLine="0" w:firstLineChars="0"/>
              <w:jc w:val="center"/>
              <w:rPr>
                <w:rFonts w:eastAsia="黑体"/>
                <w:sz w:val="21"/>
              </w:rPr>
            </w:pPr>
            <w:r>
              <w:rPr>
                <w:rFonts w:eastAsia="黑体"/>
                <w:sz w:val="21"/>
              </w:rPr>
              <w:t>35</w:t>
            </w:r>
          </w:p>
        </w:tc>
        <w:tc>
          <w:tcPr>
            <w:tcW w:w="1032" w:type="dxa"/>
            <w:vAlign w:val="center"/>
          </w:tcPr>
          <w:p>
            <w:pPr>
              <w:pStyle w:val="8"/>
              <w:spacing w:line="360" w:lineRule="atLeast"/>
              <w:ind w:firstLine="0" w:firstLineChars="0"/>
              <w:jc w:val="center"/>
              <w:rPr>
                <w:rFonts w:eastAsia="黑体"/>
                <w:sz w:val="21"/>
                <w:highlight w:val="cyan"/>
              </w:rPr>
            </w:pPr>
            <w:r>
              <w:rPr>
                <w:rFonts w:eastAsia="黑体"/>
                <w:sz w:val="21"/>
              </w:rPr>
              <w:t>40</w:t>
            </w:r>
          </w:p>
        </w:tc>
        <w:tc>
          <w:tcPr>
            <w:tcW w:w="1198" w:type="dxa"/>
            <w:vAlign w:val="center"/>
          </w:tcPr>
          <w:p>
            <w:pPr>
              <w:pStyle w:val="8"/>
              <w:spacing w:line="360" w:lineRule="atLeast"/>
              <w:ind w:firstLine="0" w:firstLineChars="0"/>
              <w:jc w:val="center"/>
              <w:rPr>
                <w:rFonts w:eastAsia="黑体"/>
                <w:sz w:val="21"/>
                <w:highlight w:val="green"/>
              </w:rPr>
            </w:pPr>
            <w:r>
              <w:rPr>
                <w:rFonts w:hint="eastAsia" w:eastAsia="黑体"/>
                <w:sz w:val="21"/>
              </w:rPr>
              <w:t>45</w:t>
            </w:r>
          </w:p>
        </w:tc>
        <w:tc>
          <w:tcPr>
            <w:tcW w:w="938" w:type="dxa"/>
            <w:vAlign w:val="center"/>
          </w:tcPr>
          <w:p>
            <w:pPr>
              <w:pStyle w:val="8"/>
              <w:spacing w:line="360" w:lineRule="atLeast"/>
              <w:ind w:firstLine="0" w:firstLineChars="0"/>
              <w:jc w:val="center"/>
              <w:rPr>
                <w:rFonts w:eastAsia="黑体"/>
                <w:sz w:val="21"/>
              </w:rPr>
            </w:pPr>
            <w:r>
              <w:rPr>
                <w:rFonts w:hint="eastAsia" w:eastAsia="黑体"/>
                <w:sz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Align w:val="center"/>
          </w:tcPr>
          <w:p>
            <w:pPr>
              <w:pStyle w:val="8"/>
              <w:spacing w:line="360" w:lineRule="atLeast"/>
              <w:ind w:firstLine="0" w:firstLineChars="0"/>
              <w:jc w:val="center"/>
              <w:rPr>
                <w:rFonts w:eastAsia="黑体"/>
                <w:sz w:val="18"/>
              </w:rPr>
            </w:pPr>
            <w:r>
              <w:rPr>
                <w:rFonts w:eastAsia="黑体"/>
                <w:sz w:val="21"/>
              </w:rPr>
              <w:t>厂外铁路线（中心线）</w:t>
            </w:r>
          </w:p>
        </w:tc>
        <w:tc>
          <w:tcPr>
            <w:tcW w:w="1127" w:type="dxa"/>
            <w:vAlign w:val="center"/>
          </w:tcPr>
          <w:p>
            <w:pPr>
              <w:pStyle w:val="8"/>
              <w:spacing w:line="360" w:lineRule="atLeast"/>
              <w:ind w:firstLine="0" w:firstLineChars="0"/>
              <w:jc w:val="center"/>
              <w:rPr>
                <w:rFonts w:eastAsia="黑体"/>
                <w:sz w:val="21"/>
              </w:rPr>
            </w:pPr>
            <w:r>
              <w:rPr>
                <w:rFonts w:hint="eastAsia" w:eastAsia="黑体"/>
                <w:sz w:val="21"/>
              </w:rPr>
              <w:t>20</w:t>
            </w:r>
          </w:p>
        </w:tc>
        <w:tc>
          <w:tcPr>
            <w:tcW w:w="991" w:type="dxa"/>
            <w:vAlign w:val="center"/>
          </w:tcPr>
          <w:p>
            <w:pPr>
              <w:pStyle w:val="8"/>
              <w:spacing w:line="360" w:lineRule="atLeast"/>
              <w:ind w:firstLine="0" w:firstLineChars="0"/>
              <w:jc w:val="center"/>
              <w:rPr>
                <w:rFonts w:eastAsia="黑体"/>
                <w:sz w:val="21"/>
              </w:rPr>
            </w:pPr>
            <w:r>
              <w:rPr>
                <w:rFonts w:hint="eastAsia" w:eastAsia="黑体"/>
                <w:sz w:val="21"/>
              </w:rPr>
              <w:t>20</w:t>
            </w:r>
          </w:p>
        </w:tc>
        <w:tc>
          <w:tcPr>
            <w:tcW w:w="1091" w:type="dxa"/>
            <w:vAlign w:val="center"/>
          </w:tcPr>
          <w:p>
            <w:pPr>
              <w:pStyle w:val="8"/>
              <w:spacing w:line="360" w:lineRule="atLeast"/>
              <w:ind w:firstLine="0" w:firstLineChars="0"/>
              <w:jc w:val="center"/>
              <w:rPr>
                <w:rFonts w:eastAsia="黑体"/>
                <w:sz w:val="21"/>
              </w:rPr>
            </w:pPr>
            <w:r>
              <w:rPr>
                <w:rFonts w:hint="eastAsia" w:eastAsia="黑体"/>
                <w:sz w:val="21"/>
              </w:rPr>
              <w:t>20</w:t>
            </w:r>
          </w:p>
        </w:tc>
        <w:tc>
          <w:tcPr>
            <w:tcW w:w="1329" w:type="dxa"/>
            <w:vAlign w:val="center"/>
          </w:tcPr>
          <w:p>
            <w:pPr>
              <w:pStyle w:val="8"/>
              <w:spacing w:line="360" w:lineRule="atLeast"/>
              <w:ind w:firstLine="0" w:firstLineChars="0"/>
              <w:jc w:val="center"/>
              <w:rPr>
                <w:rFonts w:eastAsia="黑体"/>
                <w:sz w:val="21"/>
              </w:rPr>
            </w:pPr>
            <w:r>
              <w:rPr>
                <w:rFonts w:hint="eastAsia" w:eastAsia="黑体"/>
                <w:sz w:val="21"/>
              </w:rPr>
              <w:t>20</w:t>
            </w:r>
          </w:p>
        </w:tc>
        <w:tc>
          <w:tcPr>
            <w:tcW w:w="1032" w:type="dxa"/>
            <w:vAlign w:val="center"/>
          </w:tcPr>
          <w:p>
            <w:pPr>
              <w:pStyle w:val="8"/>
              <w:spacing w:line="360" w:lineRule="atLeast"/>
              <w:ind w:firstLine="0" w:firstLineChars="0"/>
              <w:jc w:val="center"/>
              <w:rPr>
                <w:rFonts w:eastAsia="黑体"/>
                <w:sz w:val="21"/>
              </w:rPr>
            </w:pPr>
            <w:r>
              <w:rPr>
                <w:rFonts w:hint="eastAsia" w:eastAsia="黑体"/>
                <w:sz w:val="21"/>
              </w:rPr>
              <w:t>20</w:t>
            </w:r>
          </w:p>
        </w:tc>
        <w:tc>
          <w:tcPr>
            <w:tcW w:w="1198" w:type="dxa"/>
            <w:vAlign w:val="center"/>
          </w:tcPr>
          <w:p>
            <w:pPr>
              <w:pStyle w:val="8"/>
              <w:spacing w:line="360" w:lineRule="atLeast"/>
              <w:ind w:firstLine="0" w:firstLineChars="0"/>
              <w:jc w:val="center"/>
              <w:rPr>
                <w:rFonts w:eastAsia="黑体"/>
                <w:sz w:val="21"/>
              </w:rPr>
            </w:pPr>
            <w:r>
              <w:rPr>
                <w:rFonts w:hint="eastAsia" w:eastAsia="黑体"/>
                <w:sz w:val="21"/>
              </w:rPr>
              <w:t>20</w:t>
            </w:r>
          </w:p>
        </w:tc>
        <w:tc>
          <w:tcPr>
            <w:tcW w:w="938" w:type="dxa"/>
            <w:vAlign w:val="center"/>
          </w:tcPr>
          <w:p>
            <w:pPr>
              <w:pStyle w:val="8"/>
              <w:spacing w:line="360" w:lineRule="atLeast"/>
              <w:ind w:firstLine="0" w:firstLineChars="0"/>
              <w:jc w:val="center"/>
              <w:rPr>
                <w:rFonts w:eastAsia="黑体"/>
                <w:sz w:val="21"/>
              </w:rPr>
            </w:pPr>
            <w:r>
              <w:rPr>
                <w:rFonts w:hint="eastAsia" w:eastAsia="黑体"/>
                <w:sz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Align w:val="center"/>
          </w:tcPr>
          <w:p>
            <w:pPr>
              <w:pStyle w:val="8"/>
              <w:spacing w:line="360" w:lineRule="atLeast"/>
              <w:ind w:firstLine="0" w:firstLineChars="0"/>
              <w:jc w:val="center"/>
              <w:rPr>
                <w:rFonts w:eastAsia="黑体"/>
                <w:sz w:val="18"/>
              </w:rPr>
            </w:pPr>
            <w:r>
              <w:rPr>
                <w:rFonts w:eastAsia="黑体"/>
                <w:sz w:val="21"/>
              </w:rPr>
              <w:t>厂内铁路线（中心线）</w:t>
            </w:r>
          </w:p>
        </w:tc>
        <w:tc>
          <w:tcPr>
            <w:tcW w:w="1127" w:type="dxa"/>
            <w:vAlign w:val="center"/>
          </w:tcPr>
          <w:p>
            <w:pPr>
              <w:pStyle w:val="8"/>
              <w:spacing w:line="360" w:lineRule="atLeast"/>
              <w:ind w:firstLine="0" w:firstLineChars="0"/>
              <w:jc w:val="center"/>
              <w:rPr>
                <w:rFonts w:eastAsia="黑体"/>
                <w:sz w:val="21"/>
              </w:rPr>
            </w:pPr>
            <w:r>
              <w:rPr>
                <w:rFonts w:hint="eastAsia" w:eastAsia="黑体"/>
                <w:sz w:val="21"/>
              </w:rPr>
              <w:t>20</w:t>
            </w:r>
          </w:p>
        </w:tc>
        <w:tc>
          <w:tcPr>
            <w:tcW w:w="991" w:type="dxa"/>
            <w:vAlign w:val="center"/>
          </w:tcPr>
          <w:p>
            <w:pPr>
              <w:pStyle w:val="8"/>
              <w:spacing w:line="360" w:lineRule="atLeast"/>
              <w:ind w:firstLine="0" w:firstLineChars="0"/>
              <w:jc w:val="center"/>
              <w:rPr>
                <w:rFonts w:eastAsia="黑体"/>
                <w:sz w:val="21"/>
              </w:rPr>
            </w:pPr>
            <w:r>
              <w:rPr>
                <w:rFonts w:hint="eastAsia" w:eastAsia="黑体"/>
                <w:sz w:val="21"/>
              </w:rPr>
              <w:t>15</w:t>
            </w:r>
          </w:p>
        </w:tc>
        <w:tc>
          <w:tcPr>
            <w:tcW w:w="1091" w:type="dxa"/>
            <w:vAlign w:val="center"/>
          </w:tcPr>
          <w:p>
            <w:pPr>
              <w:pStyle w:val="8"/>
              <w:spacing w:line="360" w:lineRule="atLeast"/>
              <w:ind w:firstLine="0" w:firstLineChars="0"/>
              <w:jc w:val="center"/>
              <w:rPr>
                <w:rFonts w:eastAsia="黑体"/>
                <w:sz w:val="21"/>
              </w:rPr>
            </w:pPr>
            <w:r>
              <w:rPr>
                <w:rFonts w:hint="eastAsia" w:eastAsia="黑体"/>
                <w:sz w:val="21"/>
              </w:rPr>
              <w:t>15</w:t>
            </w:r>
          </w:p>
        </w:tc>
        <w:tc>
          <w:tcPr>
            <w:tcW w:w="1329" w:type="dxa"/>
            <w:vAlign w:val="center"/>
          </w:tcPr>
          <w:p>
            <w:pPr>
              <w:pStyle w:val="8"/>
              <w:spacing w:line="360" w:lineRule="atLeast"/>
              <w:ind w:firstLine="0" w:firstLineChars="0"/>
              <w:jc w:val="center"/>
              <w:rPr>
                <w:rFonts w:eastAsia="黑体"/>
                <w:sz w:val="21"/>
              </w:rPr>
            </w:pPr>
            <w:r>
              <w:rPr>
                <w:rFonts w:hint="eastAsia" w:eastAsia="黑体"/>
                <w:sz w:val="21"/>
              </w:rPr>
              <w:t>15</w:t>
            </w:r>
          </w:p>
        </w:tc>
        <w:tc>
          <w:tcPr>
            <w:tcW w:w="1032" w:type="dxa"/>
            <w:vAlign w:val="center"/>
          </w:tcPr>
          <w:p>
            <w:pPr>
              <w:pStyle w:val="8"/>
              <w:spacing w:line="360" w:lineRule="atLeast"/>
              <w:ind w:firstLine="0" w:firstLineChars="0"/>
              <w:jc w:val="center"/>
              <w:rPr>
                <w:rFonts w:eastAsia="黑体"/>
                <w:sz w:val="21"/>
              </w:rPr>
            </w:pPr>
            <w:r>
              <w:rPr>
                <w:rFonts w:hint="eastAsia" w:eastAsia="黑体"/>
                <w:sz w:val="21"/>
              </w:rPr>
              <w:t>15</w:t>
            </w:r>
          </w:p>
        </w:tc>
        <w:tc>
          <w:tcPr>
            <w:tcW w:w="1198" w:type="dxa"/>
            <w:vAlign w:val="center"/>
          </w:tcPr>
          <w:p>
            <w:pPr>
              <w:pStyle w:val="8"/>
              <w:spacing w:line="360" w:lineRule="atLeast"/>
              <w:ind w:firstLine="0" w:firstLineChars="0"/>
              <w:jc w:val="center"/>
              <w:rPr>
                <w:rFonts w:eastAsia="黑体"/>
                <w:sz w:val="21"/>
              </w:rPr>
            </w:pPr>
            <w:r>
              <w:rPr>
                <w:rFonts w:hint="eastAsia" w:eastAsia="黑体"/>
                <w:sz w:val="21"/>
              </w:rPr>
              <w:t>15</w:t>
            </w:r>
          </w:p>
        </w:tc>
        <w:tc>
          <w:tcPr>
            <w:tcW w:w="938" w:type="dxa"/>
            <w:vAlign w:val="center"/>
          </w:tcPr>
          <w:p>
            <w:pPr>
              <w:pStyle w:val="8"/>
              <w:spacing w:line="360" w:lineRule="atLeast"/>
              <w:ind w:firstLine="0" w:firstLineChars="0"/>
              <w:jc w:val="center"/>
              <w:rPr>
                <w:rFonts w:eastAsia="黑体"/>
                <w:sz w:val="21"/>
              </w:rPr>
            </w:pPr>
            <w:r>
              <w:rPr>
                <w:rFonts w:hint="eastAsia" w:eastAsia="黑体"/>
                <w:sz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Align w:val="center"/>
          </w:tcPr>
          <w:p>
            <w:pPr>
              <w:pStyle w:val="8"/>
              <w:spacing w:line="360" w:lineRule="atLeast"/>
              <w:ind w:firstLine="0" w:firstLineChars="0"/>
              <w:jc w:val="center"/>
              <w:rPr>
                <w:rFonts w:eastAsia="黑体"/>
                <w:sz w:val="18"/>
              </w:rPr>
            </w:pPr>
            <w:r>
              <w:rPr>
                <w:rFonts w:eastAsia="黑体"/>
                <w:sz w:val="21"/>
              </w:rPr>
              <w:t>厂外道路（相邻侧路边）</w:t>
            </w:r>
          </w:p>
        </w:tc>
        <w:tc>
          <w:tcPr>
            <w:tcW w:w="1127" w:type="dxa"/>
            <w:vAlign w:val="center"/>
          </w:tcPr>
          <w:p>
            <w:pPr>
              <w:pStyle w:val="8"/>
              <w:spacing w:line="360" w:lineRule="atLeast"/>
              <w:ind w:firstLine="0" w:firstLineChars="0"/>
              <w:jc w:val="center"/>
              <w:rPr>
                <w:rFonts w:eastAsia="黑体"/>
                <w:sz w:val="21"/>
              </w:rPr>
            </w:pPr>
            <w:r>
              <w:rPr>
                <w:rFonts w:hint="eastAsia" w:eastAsia="黑体"/>
                <w:sz w:val="21"/>
              </w:rPr>
              <w:t>15</w:t>
            </w:r>
          </w:p>
        </w:tc>
        <w:tc>
          <w:tcPr>
            <w:tcW w:w="991" w:type="dxa"/>
            <w:vAlign w:val="center"/>
          </w:tcPr>
          <w:p>
            <w:pPr>
              <w:pStyle w:val="8"/>
              <w:spacing w:line="360" w:lineRule="atLeast"/>
              <w:ind w:firstLine="0" w:firstLineChars="0"/>
              <w:jc w:val="center"/>
              <w:rPr>
                <w:rFonts w:eastAsia="黑体"/>
                <w:sz w:val="21"/>
              </w:rPr>
            </w:pPr>
            <w:r>
              <w:rPr>
                <w:rFonts w:hint="eastAsia" w:eastAsia="黑体"/>
                <w:sz w:val="21"/>
              </w:rPr>
              <w:t>15</w:t>
            </w:r>
          </w:p>
        </w:tc>
        <w:tc>
          <w:tcPr>
            <w:tcW w:w="1091" w:type="dxa"/>
            <w:vAlign w:val="center"/>
          </w:tcPr>
          <w:p>
            <w:pPr>
              <w:pStyle w:val="8"/>
              <w:spacing w:line="360" w:lineRule="atLeast"/>
              <w:ind w:firstLine="0" w:firstLineChars="0"/>
              <w:jc w:val="center"/>
              <w:rPr>
                <w:rFonts w:eastAsia="黑体"/>
                <w:sz w:val="21"/>
              </w:rPr>
            </w:pPr>
            <w:r>
              <w:rPr>
                <w:rFonts w:hint="eastAsia" w:eastAsia="黑体"/>
                <w:sz w:val="21"/>
              </w:rPr>
              <w:t>15</w:t>
            </w:r>
          </w:p>
        </w:tc>
        <w:tc>
          <w:tcPr>
            <w:tcW w:w="1329" w:type="dxa"/>
            <w:vAlign w:val="center"/>
          </w:tcPr>
          <w:p>
            <w:pPr>
              <w:pStyle w:val="8"/>
              <w:spacing w:line="360" w:lineRule="atLeast"/>
              <w:ind w:firstLine="0" w:firstLineChars="0"/>
              <w:jc w:val="center"/>
              <w:rPr>
                <w:rFonts w:eastAsia="黑体"/>
                <w:sz w:val="21"/>
              </w:rPr>
            </w:pPr>
            <w:r>
              <w:rPr>
                <w:rFonts w:hint="eastAsia" w:eastAsia="黑体"/>
                <w:sz w:val="21"/>
              </w:rPr>
              <w:t>15</w:t>
            </w:r>
          </w:p>
        </w:tc>
        <w:tc>
          <w:tcPr>
            <w:tcW w:w="1032" w:type="dxa"/>
            <w:vAlign w:val="center"/>
          </w:tcPr>
          <w:p>
            <w:pPr>
              <w:pStyle w:val="8"/>
              <w:spacing w:line="360" w:lineRule="atLeast"/>
              <w:ind w:firstLine="0" w:firstLineChars="0"/>
              <w:jc w:val="center"/>
              <w:rPr>
                <w:rFonts w:eastAsia="黑体"/>
                <w:sz w:val="21"/>
              </w:rPr>
            </w:pPr>
            <w:r>
              <w:rPr>
                <w:rFonts w:hint="eastAsia" w:eastAsia="黑体"/>
                <w:sz w:val="21"/>
              </w:rPr>
              <w:t>15</w:t>
            </w:r>
          </w:p>
        </w:tc>
        <w:tc>
          <w:tcPr>
            <w:tcW w:w="1198" w:type="dxa"/>
            <w:vAlign w:val="center"/>
          </w:tcPr>
          <w:p>
            <w:pPr>
              <w:pStyle w:val="8"/>
              <w:spacing w:line="360" w:lineRule="atLeast"/>
              <w:ind w:firstLine="0" w:firstLineChars="0"/>
              <w:jc w:val="center"/>
              <w:rPr>
                <w:rFonts w:eastAsia="黑体"/>
                <w:sz w:val="21"/>
              </w:rPr>
            </w:pPr>
            <w:r>
              <w:rPr>
                <w:rFonts w:hint="eastAsia" w:eastAsia="黑体"/>
                <w:sz w:val="21"/>
              </w:rPr>
              <w:t>15</w:t>
            </w:r>
          </w:p>
        </w:tc>
        <w:tc>
          <w:tcPr>
            <w:tcW w:w="938" w:type="dxa"/>
            <w:vAlign w:val="center"/>
          </w:tcPr>
          <w:p>
            <w:pPr>
              <w:pStyle w:val="8"/>
              <w:spacing w:line="360" w:lineRule="atLeast"/>
              <w:ind w:firstLine="0" w:firstLineChars="0"/>
              <w:jc w:val="center"/>
              <w:rPr>
                <w:rFonts w:eastAsia="黑体"/>
                <w:sz w:val="21"/>
              </w:rPr>
            </w:pPr>
            <w:r>
              <w:rPr>
                <w:rFonts w:hint="eastAsia" w:eastAsia="黑体"/>
                <w:sz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1458" w:type="dxa"/>
            <w:gridSpan w:val="2"/>
            <w:vMerge w:val="restart"/>
            <w:vAlign w:val="center"/>
          </w:tcPr>
          <w:p>
            <w:pPr>
              <w:pStyle w:val="8"/>
              <w:spacing w:line="240" w:lineRule="auto"/>
              <w:ind w:firstLine="0" w:firstLineChars="0"/>
              <w:jc w:val="center"/>
              <w:rPr>
                <w:rFonts w:eastAsia="黑体"/>
                <w:sz w:val="18"/>
              </w:rPr>
            </w:pPr>
            <w:r>
              <w:rPr>
                <w:rFonts w:eastAsia="黑体"/>
                <w:sz w:val="21"/>
              </w:rPr>
              <w:t>厂内道路（相邻侧路边）</w:t>
            </w:r>
          </w:p>
        </w:tc>
        <w:tc>
          <w:tcPr>
            <w:tcW w:w="1195" w:type="dxa"/>
            <w:vAlign w:val="center"/>
          </w:tcPr>
          <w:p>
            <w:pPr>
              <w:pStyle w:val="8"/>
              <w:spacing w:line="360" w:lineRule="atLeast"/>
              <w:ind w:firstLine="0" w:firstLineChars="0"/>
              <w:jc w:val="center"/>
              <w:rPr>
                <w:rFonts w:eastAsia="黑体"/>
                <w:sz w:val="18"/>
              </w:rPr>
            </w:pPr>
            <w:r>
              <w:rPr>
                <w:rFonts w:eastAsia="黑体"/>
                <w:sz w:val="21"/>
              </w:rPr>
              <w:t>主要道路</w:t>
            </w:r>
          </w:p>
        </w:tc>
        <w:tc>
          <w:tcPr>
            <w:tcW w:w="1127" w:type="dxa"/>
            <w:vAlign w:val="center"/>
          </w:tcPr>
          <w:p>
            <w:pPr>
              <w:pStyle w:val="8"/>
              <w:spacing w:line="360" w:lineRule="atLeast"/>
              <w:ind w:firstLine="0" w:firstLineChars="0"/>
              <w:jc w:val="center"/>
              <w:rPr>
                <w:rFonts w:eastAsia="黑体"/>
                <w:sz w:val="21"/>
              </w:rPr>
            </w:pPr>
            <w:r>
              <w:rPr>
                <w:rFonts w:hint="eastAsia" w:eastAsia="黑体"/>
                <w:sz w:val="21"/>
              </w:rPr>
              <w:t>10</w:t>
            </w:r>
          </w:p>
        </w:tc>
        <w:tc>
          <w:tcPr>
            <w:tcW w:w="991" w:type="dxa"/>
            <w:vAlign w:val="center"/>
          </w:tcPr>
          <w:p>
            <w:pPr>
              <w:pStyle w:val="8"/>
              <w:spacing w:line="360" w:lineRule="atLeast"/>
              <w:ind w:firstLine="0" w:firstLineChars="0"/>
              <w:jc w:val="center"/>
              <w:rPr>
                <w:rFonts w:eastAsia="黑体"/>
                <w:sz w:val="21"/>
              </w:rPr>
            </w:pPr>
            <w:r>
              <w:rPr>
                <w:rFonts w:hint="eastAsia" w:eastAsia="黑体"/>
                <w:sz w:val="21"/>
              </w:rPr>
              <w:t>10</w:t>
            </w:r>
          </w:p>
        </w:tc>
        <w:tc>
          <w:tcPr>
            <w:tcW w:w="1091" w:type="dxa"/>
            <w:vAlign w:val="center"/>
          </w:tcPr>
          <w:p>
            <w:pPr>
              <w:pStyle w:val="8"/>
              <w:spacing w:line="360" w:lineRule="atLeast"/>
              <w:ind w:firstLine="0" w:firstLineChars="0"/>
              <w:jc w:val="center"/>
              <w:rPr>
                <w:rFonts w:eastAsia="黑体"/>
                <w:sz w:val="21"/>
              </w:rPr>
            </w:pPr>
            <w:r>
              <w:rPr>
                <w:rFonts w:hint="eastAsia" w:eastAsia="黑体"/>
                <w:sz w:val="21"/>
              </w:rPr>
              <w:t>10</w:t>
            </w:r>
          </w:p>
        </w:tc>
        <w:tc>
          <w:tcPr>
            <w:tcW w:w="1329" w:type="dxa"/>
            <w:vAlign w:val="center"/>
          </w:tcPr>
          <w:p>
            <w:pPr>
              <w:pStyle w:val="8"/>
              <w:spacing w:line="360" w:lineRule="atLeast"/>
              <w:ind w:firstLine="0" w:firstLineChars="0"/>
              <w:jc w:val="center"/>
              <w:rPr>
                <w:rFonts w:eastAsia="黑体"/>
                <w:sz w:val="21"/>
              </w:rPr>
            </w:pPr>
            <w:r>
              <w:rPr>
                <w:rFonts w:hint="eastAsia" w:eastAsia="黑体"/>
                <w:sz w:val="21"/>
              </w:rPr>
              <w:t>10</w:t>
            </w:r>
          </w:p>
        </w:tc>
        <w:tc>
          <w:tcPr>
            <w:tcW w:w="1032" w:type="dxa"/>
            <w:vAlign w:val="center"/>
          </w:tcPr>
          <w:p>
            <w:pPr>
              <w:pStyle w:val="8"/>
              <w:spacing w:line="360" w:lineRule="atLeast"/>
              <w:ind w:firstLine="0" w:firstLineChars="0"/>
              <w:jc w:val="center"/>
              <w:rPr>
                <w:rFonts w:eastAsia="黑体"/>
                <w:sz w:val="21"/>
              </w:rPr>
            </w:pPr>
            <w:r>
              <w:rPr>
                <w:rFonts w:hint="eastAsia" w:eastAsia="黑体"/>
                <w:sz w:val="21"/>
              </w:rPr>
              <w:t>10</w:t>
            </w:r>
          </w:p>
        </w:tc>
        <w:tc>
          <w:tcPr>
            <w:tcW w:w="1198" w:type="dxa"/>
            <w:vAlign w:val="center"/>
          </w:tcPr>
          <w:p>
            <w:pPr>
              <w:pStyle w:val="8"/>
              <w:spacing w:line="360" w:lineRule="atLeast"/>
              <w:ind w:firstLine="0" w:firstLineChars="0"/>
              <w:jc w:val="center"/>
              <w:rPr>
                <w:rFonts w:eastAsia="黑体"/>
                <w:sz w:val="21"/>
                <w:highlight w:val="yellow"/>
              </w:rPr>
            </w:pPr>
            <w:r>
              <w:rPr>
                <w:rFonts w:hint="eastAsia" w:eastAsia="黑体"/>
                <w:sz w:val="21"/>
              </w:rPr>
              <w:t>10</w:t>
            </w:r>
          </w:p>
        </w:tc>
        <w:tc>
          <w:tcPr>
            <w:tcW w:w="938" w:type="dxa"/>
            <w:vAlign w:val="center"/>
          </w:tcPr>
          <w:p>
            <w:pPr>
              <w:pStyle w:val="8"/>
              <w:spacing w:line="360" w:lineRule="atLeast"/>
              <w:ind w:firstLine="0" w:firstLineChars="0"/>
              <w:jc w:val="center"/>
              <w:rPr>
                <w:rFonts w:eastAsia="黑体"/>
                <w:sz w:val="21"/>
              </w:rPr>
            </w:pPr>
            <w:r>
              <w:rPr>
                <w:rFonts w:hint="eastAsia" w:eastAsia="黑体"/>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1458" w:type="dxa"/>
            <w:gridSpan w:val="2"/>
            <w:vMerge w:val="continue"/>
            <w:vAlign w:val="center"/>
          </w:tcPr>
          <w:p>
            <w:pPr>
              <w:pStyle w:val="8"/>
              <w:spacing w:line="360" w:lineRule="atLeast"/>
              <w:ind w:firstLine="0" w:firstLineChars="0"/>
              <w:jc w:val="center"/>
              <w:rPr>
                <w:rFonts w:eastAsia="黑体"/>
                <w:sz w:val="18"/>
              </w:rPr>
            </w:pPr>
          </w:p>
        </w:tc>
        <w:tc>
          <w:tcPr>
            <w:tcW w:w="1195" w:type="dxa"/>
            <w:vAlign w:val="center"/>
          </w:tcPr>
          <w:p>
            <w:pPr>
              <w:pStyle w:val="8"/>
              <w:spacing w:line="360" w:lineRule="atLeast"/>
              <w:ind w:firstLine="0" w:firstLineChars="0"/>
              <w:jc w:val="center"/>
              <w:rPr>
                <w:rFonts w:eastAsia="黑体"/>
                <w:sz w:val="18"/>
              </w:rPr>
            </w:pPr>
            <w:r>
              <w:rPr>
                <w:rFonts w:eastAsia="黑体"/>
                <w:sz w:val="21"/>
              </w:rPr>
              <w:t>次要道路</w:t>
            </w:r>
          </w:p>
        </w:tc>
        <w:tc>
          <w:tcPr>
            <w:tcW w:w="1127" w:type="dxa"/>
            <w:vAlign w:val="center"/>
          </w:tcPr>
          <w:p>
            <w:pPr>
              <w:pStyle w:val="8"/>
              <w:spacing w:line="360" w:lineRule="atLeast"/>
              <w:ind w:firstLine="0" w:firstLineChars="0"/>
              <w:jc w:val="center"/>
              <w:rPr>
                <w:rFonts w:eastAsia="黑体"/>
                <w:sz w:val="21"/>
              </w:rPr>
            </w:pPr>
            <w:r>
              <w:rPr>
                <w:rFonts w:hint="eastAsia" w:eastAsia="黑体"/>
                <w:sz w:val="21"/>
              </w:rPr>
              <w:t>5</w:t>
            </w:r>
          </w:p>
        </w:tc>
        <w:tc>
          <w:tcPr>
            <w:tcW w:w="991" w:type="dxa"/>
            <w:vAlign w:val="center"/>
          </w:tcPr>
          <w:p>
            <w:pPr>
              <w:pStyle w:val="8"/>
              <w:spacing w:line="360" w:lineRule="atLeast"/>
              <w:ind w:firstLine="0" w:firstLineChars="0"/>
              <w:jc w:val="center"/>
              <w:rPr>
                <w:rFonts w:eastAsia="黑体"/>
                <w:sz w:val="21"/>
              </w:rPr>
            </w:pPr>
            <w:r>
              <w:rPr>
                <w:rFonts w:hint="eastAsia" w:eastAsia="黑体"/>
                <w:sz w:val="21"/>
              </w:rPr>
              <w:t>5</w:t>
            </w:r>
          </w:p>
        </w:tc>
        <w:tc>
          <w:tcPr>
            <w:tcW w:w="1091" w:type="dxa"/>
            <w:vAlign w:val="center"/>
          </w:tcPr>
          <w:p>
            <w:pPr>
              <w:pStyle w:val="8"/>
              <w:spacing w:line="360" w:lineRule="atLeast"/>
              <w:ind w:firstLine="0" w:firstLineChars="0"/>
              <w:jc w:val="center"/>
              <w:rPr>
                <w:rFonts w:eastAsia="黑体"/>
                <w:sz w:val="21"/>
              </w:rPr>
            </w:pPr>
            <w:r>
              <w:rPr>
                <w:rFonts w:hint="eastAsia" w:eastAsia="黑体"/>
                <w:sz w:val="21"/>
              </w:rPr>
              <w:t>5</w:t>
            </w:r>
          </w:p>
        </w:tc>
        <w:tc>
          <w:tcPr>
            <w:tcW w:w="1329" w:type="dxa"/>
            <w:vAlign w:val="center"/>
          </w:tcPr>
          <w:p>
            <w:pPr>
              <w:pStyle w:val="8"/>
              <w:spacing w:line="360" w:lineRule="atLeast"/>
              <w:ind w:firstLine="0" w:firstLineChars="0"/>
              <w:jc w:val="center"/>
              <w:rPr>
                <w:rFonts w:eastAsia="黑体"/>
                <w:sz w:val="21"/>
              </w:rPr>
            </w:pPr>
            <w:r>
              <w:rPr>
                <w:rFonts w:hint="eastAsia" w:eastAsia="黑体"/>
                <w:sz w:val="21"/>
              </w:rPr>
              <w:t>5</w:t>
            </w:r>
          </w:p>
        </w:tc>
        <w:tc>
          <w:tcPr>
            <w:tcW w:w="1032" w:type="dxa"/>
            <w:vAlign w:val="center"/>
          </w:tcPr>
          <w:p>
            <w:pPr>
              <w:pStyle w:val="8"/>
              <w:spacing w:line="360" w:lineRule="atLeast"/>
              <w:ind w:firstLine="0" w:firstLineChars="0"/>
              <w:jc w:val="center"/>
              <w:rPr>
                <w:rFonts w:eastAsia="黑体"/>
                <w:sz w:val="21"/>
              </w:rPr>
            </w:pPr>
            <w:r>
              <w:rPr>
                <w:rFonts w:hint="eastAsia" w:eastAsia="黑体"/>
                <w:sz w:val="21"/>
              </w:rPr>
              <w:t>5</w:t>
            </w:r>
          </w:p>
        </w:tc>
        <w:tc>
          <w:tcPr>
            <w:tcW w:w="1198" w:type="dxa"/>
            <w:vAlign w:val="center"/>
          </w:tcPr>
          <w:p>
            <w:pPr>
              <w:pStyle w:val="8"/>
              <w:spacing w:line="360" w:lineRule="atLeast"/>
              <w:ind w:firstLine="0" w:firstLineChars="0"/>
              <w:jc w:val="center"/>
              <w:rPr>
                <w:rFonts w:eastAsia="黑体"/>
                <w:sz w:val="21"/>
                <w:highlight w:val="yellow"/>
              </w:rPr>
            </w:pPr>
            <w:r>
              <w:rPr>
                <w:rFonts w:hint="eastAsia" w:eastAsia="黑体"/>
                <w:sz w:val="21"/>
              </w:rPr>
              <w:t>5</w:t>
            </w:r>
          </w:p>
        </w:tc>
        <w:tc>
          <w:tcPr>
            <w:tcW w:w="938" w:type="dxa"/>
            <w:vAlign w:val="center"/>
          </w:tcPr>
          <w:p>
            <w:pPr>
              <w:pStyle w:val="8"/>
              <w:spacing w:line="360" w:lineRule="atLeast"/>
              <w:ind w:firstLine="0" w:firstLineChars="0"/>
              <w:jc w:val="center"/>
              <w:rPr>
                <w:rFonts w:eastAsia="黑体"/>
                <w:sz w:val="21"/>
              </w:rPr>
            </w:pPr>
            <w:r>
              <w:rPr>
                <w:rFonts w:hint="eastAsia" w:eastAsia="黑体"/>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Align w:val="center"/>
          </w:tcPr>
          <w:p>
            <w:pPr>
              <w:pStyle w:val="8"/>
              <w:spacing w:line="360" w:lineRule="atLeast"/>
              <w:ind w:firstLine="0" w:firstLineChars="0"/>
              <w:jc w:val="center"/>
              <w:rPr>
                <w:rFonts w:eastAsia="黑体"/>
                <w:sz w:val="18"/>
              </w:rPr>
            </w:pPr>
            <w:r>
              <w:rPr>
                <w:rFonts w:hint="eastAsia" w:eastAsia="黑体"/>
                <w:sz w:val="21"/>
              </w:rPr>
              <w:t>围墙*</w:t>
            </w:r>
          </w:p>
        </w:tc>
        <w:tc>
          <w:tcPr>
            <w:tcW w:w="1127" w:type="dxa"/>
            <w:vAlign w:val="center"/>
          </w:tcPr>
          <w:p>
            <w:pPr>
              <w:pStyle w:val="8"/>
              <w:spacing w:line="360" w:lineRule="atLeast"/>
              <w:ind w:firstLine="0" w:firstLineChars="0"/>
              <w:jc w:val="center"/>
              <w:rPr>
                <w:rFonts w:eastAsia="黑体"/>
                <w:sz w:val="21"/>
              </w:rPr>
            </w:pPr>
            <w:r>
              <w:rPr>
                <w:rFonts w:hint="eastAsia" w:eastAsia="黑体"/>
                <w:sz w:val="21"/>
              </w:rPr>
              <w:t>5</w:t>
            </w:r>
          </w:p>
        </w:tc>
        <w:tc>
          <w:tcPr>
            <w:tcW w:w="991" w:type="dxa"/>
            <w:vAlign w:val="center"/>
          </w:tcPr>
          <w:p>
            <w:pPr>
              <w:pStyle w:val="8"/>
              <w:spacing w:line="360" w:lineRule="atLeast"/>
              <w:ind w:firstLine="0" w:firstLineChars="0"/>
              <w:jc w:val="center"/>
              <w:rPr>
                <w:rFonts w:eastAsia="黑体"/>
                <w:sz w:val="21"/>
              </w:rPr>
            </w:pPr>
            <w:r>
              <w:rPr>
                <w:rFonts w:hint="eastAsia" w:eastAsia="黑体"/>
                <w:sz w:val="21"/>
              </w:rPr>
              <w:t>5</w:t>
            </w:r>
          </w:p>
        </w:tc>
        <w:tc>
          <w:tcPr>
            <w:tcW w:w="1091" w:type="dxa"/>
            <w:vAlign w:val="center"/>
          </w:tcPr>
          <w:p>
            <w:pPr>
              <w:pStyle w:val="8"/>
              <w:spacing w:line="360" w:lineRule="atLeast"/>
              <w:ind w:firstLine="0" w:firstLineChars="0"/>
              <w:jc w:val="center"/>
              <w:rPr>
                <w:rFonts w:eastAsia="黑体"/>
                <w:sz w:val="21"/>
              </w:rPr>
            </w:pPr>
            <w:r>
              <w:rPr>
                <w:rFonts w:hint="eastAsia" w:eastAsia="黑体"/>
                <w:sz w:val="21"/>
              </w:rPr>
              <w:t>5</w:t>
            </w:r>
          </w:p>
        </w:tc>
        <w:tc>
          <w:tcPr>
            <w:tcW w:w="1329" w:type="dxa"/>
            <w:vAlign w:val="center"/>
          </w:tcPr>
          <w:p>
            <w:pPr>
              <w:pStyle w:val="8"/>
              <w:spacing w:line="360" w:lineRule="atLeast"/>
              <w:ind w:firstLine="0" w:firstLineChars="0"/>
              <w:jc w:val="center"/>
              <w:rPr>
                <w:rFonts w:eastAsia="黑体"/>
                <w:sz w:val="21"/>
              </w:rPr>
            </w:pPr>
            <w:r>
              <w:rPr>
                <w:rFonts w:hint="eastAsia" w:eastAsia="黑体"/>
                <w:sz w:val="21"/>
              </w:rPr>
              <w:t>5</w:t>
            </w:r>
          </w:p>
        </w:tc>
        <w:tc>
          <w:tcPr>
            <w:tcW w:w="1032" w:type="dxa"/>
            <w:vAlign w:val="center"/>
          </w:tcPr>
          <w:p>
            <w:pPr>
              <w:pStyle w:val="8"/>
              <w:spacing w:line="360" w:lineRule="atLeast"/>
              <w:ind w:firstLine="0" w:firstLineChars="0"/>
              <w:jc w:val="center"/>
              <w:rPr>
                <w:rFonts w:eastAsia="黑体"/>
                <w:sz w:val="21"/>
              </w:rPr>
            </w:pPr>
            <w:r>
              <w:rPr>
                <w:rFonts w:hint="eastAsia" w:eastAsia="黑体"/>
                <w:sz w:val="21"/>
              </w:rPr>
              <w:t>5</w:t>
            </w:r>
          </w:p>
        </w:tc>
        <w:tc>
          <w:tcPr>
            <w:tcW w:w="1198" w:type="dxa"/>
            <w:vAlign w:val="center"/>
          </w:tcPr>
          <w:p>
            <w:pPr>
              <w:pStyle w:val="8"/>
              <w:spacing w:line="360" w:lineRule="atLeast"/>
              <w:ind w:firstLine="0" w:firstLineChars="0"/>
              <w:jc w:val="center"/>
              <w:rPr>
                <w:rFonts w:eastAsia="黑体"/>
                <w:sz w:val="21"/>
              </w:rPr>
            </w:pPr>
            <w:r>
              <w:rPr>
                <w:rFonts w:hint="eastAsia" w:eastAsia="黑体"/>
                <w:sz w:val="21"/>
              </w:rPr>
              <w:t>5</w:t>
            </w:r>
          </w:p>
        </w:tc>
        <w:tc>
          <w:tcPr>
            <w:tcW w:w="938" w:type="dxa"/>
            <w:vAlign w:val="center"/>
          </w:tcPr>
          <w:p>
            <w:pPr>
              <w:pStyle w:val="8"/>
              <w:spacing w:line="360" w:lineRule="atLeast"/>
              <w:ind w:firstLine="0" w:firstLineChars="0"/>
              <w:jc w:val="center"/>
              <w:rPr>
                <w:rFonts w:eastAsia="黑体"/>
                <w:sz w:val="21"/>
              </w:rPr>
            </w:pPr>
            <w:r>
              <w:rPr>
                <w:rFonts w:hint="eastAsia" w:eastAsia="黑体"/>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Align w:val="center"/>
          </w:tcPr>
          <w:p>
            <w:pPr>
              <w:pStyle w:val="8"/>
              <w:spacing w:line="360" w:lineRule="atLeast"/>
              <w:ind w:firstLine="0" w:firstLineChars="0"/>
              <w:jc w:val="center"/>
              <w:rPr>
                <w:rFonts w:eastAsia="黑体"/>
                <w:sz w:val="21"/>
              </w:rPr>
            </w:pPr>
            <w:r>
              <w:rPr>
                <w:rFonts w:hint="eastAsia" w:eastAsia="黑体"/>
                <w:sz w:val="21"/>
              </w:rPr>
              <w:t>架空通信线</w:t>
            </w:r>
          </w:p>
        </w:tc>
        <w:tc>
          <w:tcPr>
            <w:tcW w:w="7709" w:type="dxa"/>
            <w:gridSpan w:val="7"/>
            <w:vAlign w:val="center"/>
          </w:tcPr>
          <w:p>
            <w:pPr>
              <w:pStyle w:val="8"/>
              <w:spacing w:line="360" w:lineRule="atLeast"/>
              <w:ind w:firstLine="0" w:firstLineChars="0"/>
              <w:jc w:val="center"/>
              <w:rPr>
                <w:rFonts w:eastAsia="黑体"/>
                <w:sz w:val="21"/>
              </w:rPr>
            </w:pPr>
            <w:r>
              <w:rPr>
                <w:rFonts w:eastAsia="黑体"/>
                <w:sz w:val="21"/>
              </w:rPr>
              <w:t>不应跨越，且不得小于杆高的1.5倍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 w:hRule="atLeast"/>
          <w:jc w:val="center"/>
        </w:trPr>
        <w:tc>
          <w:tcPr>
            <w:tcW w:w="2653" w:type="dxa"/>
            <w:gridSpan w:val="3"/>
            <w:vAlign w:val="center"/>
          </w:tcPr>
          <w:p>
            <w:pPr>
              <w:pStyle w:val="8"/>
              <w:spacing w:line="360" w:lineRule="atLeast"/>
              <w:ind w:firstLine="0" w:firstLineChars="0"/>
              <w:jc w:val="center"/>
              <w:rPr>
                <w:rFonts w:eastAsia="黑体"/>
                <w:sz w:val="21"/>
              </w:rPr>
            </w:pPr>
            <w:r>
              <w:rPr>
                <w:rFonts w:hint="eastAsia" w:eastAsia="黑体"/>
                <w:sz w:val="21"/>
              </w:rPr>
              <w:t>架空电力线</w:t>
            </w:r>
          </w:p>
        </w:tc>
        <w:tc>
          <w:tcPr>
            <w:tcW w:w="7709" w:type="dxa"/>
            <w:gridSpan w:val="7"/>
            <w:vAlign w:val="center"/>
          </w:tcPr>
          <w:p>
            <w:pPr>
              <w:pStyle w:val="8"/>
              <w:spacing w:line="360" w:lineRule="atLeast"/>
              <w:ind w:firstLine="0" w:firstLineChars="0"/>
              <w:jc w:val="center"/>
              <w:rPr>
                <w:rFonts w:eastAsia="黑体"/>
                <w:sz w:val="21"/>
              </w:rPr>
            </w:pPr>
            <w:r>
              <w:rPr>
                <w:rFonts w:eastAsia="黑体"/>
                <w:sz w:val="21"/>
              </w:rPr>
              <w:t>不应跨越，且不得小于杆高的1.5倍</w:t>
            </w:r>
          </w:p>
        </w:tc>
      </w:tr>
    </w:tbl>
    <w:p>
      <w:pPr>
        <w:pStyle w:val="8"/>
        <w:spacing w:line="280" w:lineRule="atLeast"/>
        <w:ind w:firstLine="360"/>
        <w:rPr>
          <w:rFonts w:eastAsia="黑体"/>
          <w:sz w:val="18"/>
        </w:rPr>
      </w:pPr>
      <w:r>
        <w:rPr>
          <w:rFonts w:eastAsia="黑体"/>
          <w:sz w:val="18"/>
        </w:rPr>
        <w:t>注：1防火间距按相邻建筑物或构筑物的外墙、凸出部分外缘、储罐外壁的最近距离计算。</w:t>
      </w:r>
    </w:p>
    <w:p>
      <w:pPr>
        <w:pStyle w:val="8"/>
        <w:spacing w:line="280" w:lineRule="atLeast"/>
        <w:ind w:firstLine="720" w:firstLineChars="400"/>
        <w:rPr>
          <w:rFonts w:eastAsia="黑体"/>
          <w:sz w:val="18"/>
        </w:rPr>
      </w:pPr>
      <w:r>
        <w:rPr>
          <w:rFonts w:eastAsia="黑体"/>
          <w:sz w:val="18"/>
        </w:rPr>
        <w:t>2氢气储存压力容器总</w:t>
      </w:r>
      <w:r>
        <w:rPr>
          <w:rFonts w:hint="eastAsia" w:eastAsia="黑体"/>
          <w:sz w:val="18"/>
        </w:rPr>
        <w:t>储氢量</w:t>
      </w:r>
      <w:r>
        <w:rPr>
          <w:rFonts w:eastAsia="黑体"/>
          <w:sz w:val="18"/>
        </w:rPr>
        <w:t>应按氢气在0</w:t>
      </w:r>
      <w:r>
        <w:rPr>
          <w:sz w:val="18"/>
        </w:rPr>
        <w:t>℃</w:t>
      </w:r>
      <w:r>
        <w:rPr>
          <w:rFonts w:eastAsia="黑体"/>
          <w:sz w:val="18"/>
        </w:rPr>
        <w:t>，1.01</w:t>
      </w:r>
      <w:r>
        <w:rPr>
          <w:rFonts w:hint="eastAsia" w:eastAsia="黑体"/>
          <w:sz w:val="18"/>
        </w:rPr>
        <w:t>×</w:t>
      </w:r>
      <w:r>
        <w:rPr>
          <w:rFonts w:eastAsia="黑体"/>
          <w:sz w:val="18"/>
        </w:rPr>
        <w:t>10</w:t>
      </w:r>
      <w:r>
        <w:rPr>
          <w:rFonts w:eastAsia="黑体"/>
          <w:sz w:val="18"/>
          <w:vertAlign w:val="superscript"/>
        </w:rPr>
        <w:t>5</w:t>
      </w:r>
      <w:r>
        <w:rPr>
          <w:rFonts w:eastAsia="黑体"/>
          <w:sz w:val="18"/>
        </w:rPr>
        <w:t xml:space="preserve"> Pa状态的体积计。</w:t>
      </w:r>
    </w:p>
    <w:p>
      <w:pPr>
        <w:pStyle w:val="8"/>
        <w:spacing w:line="280" w:lineRule="atLeast"/>
        <w:ind w:firstLine="720" w:firstLineChars="400"/>
        <w:rPr>
          <w:rFonts w:eastAsia="黑体"/>
          <w:sz w:val="18"/>
        </w:rPr>
      </w:pPr>
      <w:r>
        <w:rPr>
          <w:kern w:val="0"/>
          <w:sz w:val="18"/>
          <w:szCs w:val="18"/>
        </w:rPr>
        <w:t>3</w:t>
      </w:r>
      <w:r>
        <w:rPr>
          <w:rFonts w:eastAsia="黑体"/>
          <w:sz w:val="18"/>
        </w:rPr>
        <w:t>总</w:t>
      </w:r>
      <w:r>
        <w:rPr>
          <w:rFonts w:hint="eastAsia" w:eastAsia="黑体"/>
          <w:sz w:val="18"/>
        </w:rPr>
        <w:t>储量</w:t>
      </w:r>
      <w:r>
        <w:rPr>
          <w:rFonts w:eastAsia="黑体"/>
          <w:sz w:val="18"/>
        </w:rPr>
        <w:t>不超过20 m</w:t>
      </w:r>
      <w:r>
        <w:rPr>
          <w:rFonts w:eastAsia="黑体"/>
          <w:sz w:val="18"/>
          <w:vertAlign w:val="superscript"/>
        </w:rPr>
        <w:t>3</w:t>
      </w:r>
      <w:r>
        <w:rPr>
          <w:rFonts w:eastAsia="黑体"/>
          <w:sz w:val="18"/>
        </w:rPr>
        <w:t>的氢气储存压力容器与所属厂房的防火间距不限。</w:t>
      </w:r>
    </w:p>
    <w:p>
      <w:pPr>
        <w:pStyle w:val="8"/>
        <w:spacing w:line="280" w:lineRule="atLeast"/>
        <w:ind w:firstLine="720" w:firstLineChars="400"/>
        <w:rPr>
          <w:rFonts w:eastAsia="黑体"/>
          <w:sz w:val="18"/>
        </w:rPr>
      </w:pPr>
      <w:r>
        <w:rPr>
          <w:rFonts w:eastAsia="黑体"/>
          <w:sz w:val="18"/>
        </w:rPr>
        <w:t>4与高层厂房之间的防火间距，应按本表相应增加3 m 。</w:t>
      </w:r>
    </w:p>
    <w:p>
      <w:pPr>
        <w:pStyle w:val="8"/>
        <w:spacing w:line="280" w:lineRule="atLeast"/>
        <w:ind w:firstLine="720" w:firstLineChars="400"/>
        <w:rPr>
          <w:rFonts w:eastAsia="黑体"/>
          <w:sz w:val="18"/>
        </w:rPr>
      </w:pPr>
      <w:r>
        <w:rPr>
          <w:sz w:val="18"/>
        </w:rPr>
        <w:t>5</w:t>
      </w:r>
      <w:r>
        <w:rPr>
          <w:rFonts w:eastAsia="黑体"/>
          <w:sz w:val="18"/>
        </w:rPr>
        <w:t>氢气储存压力容器与氧气罐之间的防火间距，不应小于相邻较大罐直径。</w:t>
      </w:r>
    </w:p>
    <w:p>
      <w:pPr>
        <w:pStyle w:val="8"/>
        <w:spacing w:line="280" w:lineRule="atLeast"/>
        <w:ind w:firstLine="720" w:firstLineChars="400"/>
        <w:rPr>
          <w:rFonts w:eastAsia="黑体"/>
          <w:sz w:val="18"/>
        </w:rPr>
      </w:pPr>
      <w:r>
        <w:rPr>
          <w:rFonts w:hint="eastAsia" w:eastAsia="黑体"/>
          <w:sz w:val="18"/>
        </w:rPr>
        <w:t>6</w:t>
      </w:r>
      <w:r>
        <w:rPr>
          <w:rFonts w:eastAsia="黑体"/>
          <w:sz w:val="18"/>
        </w:rPr>
        <w:t>装置内固定车位的长管拖车按氢气储存压力容器执行。</w:t>
      </w:r>
    </w:p>
    <w:p>
      <w:pPr>
        <w:pStyle w:val="8"/>
        <w:spacing w:line="280" w:lineRule="atLeast"/>
        <w:ind w:firstLine="0" w:firstLineChars="0"/>
      </w:pPr>
    </w:p>
    <w:p>
      <w:pPr>
        <w:pStyle w:val="8"/>
        <w:ind w:firstLine="0" w:firstLineChars="0"/>
        <w:jc w:val="center"/>
      </w:pPr>
      <w:r>
        <w:rPr>
          <w:rFonts w:eastAsia="黑体"/>
          <w:sz w:val="21"/>
        </w:rPr>
        <w:t>表3.0.2-2 液氢</w:t>
      </w:r>
      <w:r>
        <w:rPr>
          <w:rFonts w:hint="eastAsia" w:eastAsia="黑体"/>
          <w:sz w:val="21"/>
        </w:rPr>
        <w:t>容器</w:t>
      </w:r>
      <w:r>
        <w:rPr>
          <w:rFonts w:eastAsia="黑体"/>
          <w:sz w:val="21"/>
        </w:rPr>
        <w:t>与建筑物、构筑物</w:t>
      </w:r>
      <w:r>
        <w:rPr>
          <w:rFonts w:hint="eastAsia" w:eastAsia="黑体"/>
          <w:sz w:val="21"/>
        </w:rPr>
        <w:t>等</w:t>
      </w:r>
      <w:r>
        <w:rPr>
          <w:rFonts w:eastAsia="黑体"/>
          <w:sz w:val="21"/>
        </w:rPr>
        <w:t>的防火间距（m）</w:t>
      </w:r>
    </w:p>
    <w:tbl>
      <w:tblPr>
        <w:tblStyle w:val="17"/>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1702"/>
        <w:gridCol w:w="1844"/>
        <w:gridCol w:w="1614"/>
        <w:gridCol w:w="1662"/>
        <w:gridCol w:w="1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Merge w:val="restart"/>
            <w:vAlign w:val="center"/>
          </w:tcPr>
          <w:p>
            <w:pPr>
              <w:spacing w:line="360" w:lineRule="atLeast"/>
              <w:ind w:firstLine="29"/>
              <w:jc w:val="center"/>
              <w:rPr>
                <w:rFonts w:eastAsia="黑体"/>
                <w:kern w:val="0"/>
                <w:szCs w:val="21"/>
                <w:highlight w:val="yellow"/>
              </w:rPr>
            </w:pPr>
            <w:r>
              <w:rPr>
                <w:rFonts w:hint="eastAsia" w:eastAsia="黑体"/>
                <w:kern w:val="0"/>
                <w:szCs w:val="21"/>
              </w:rPr>
              <w:t>序号</w:t>
            </w:r>
          </w:p>
        </w:tc>
        <w:tc>
          <w:tcPr>
            <w:tcW w:w="3546" w:type="dxa"/>
            <w:gridSpan w:val="2"/>
            <w:vMerge w:val="restart"/>
            <w:vAlign w:val="center"/>
          </w:tcPr>
          <w:p>
            <w:pPr>
              <w:spacing w:line="360" w:lineRule="atLeast"/>
              <w:ind w:firstLine="30"/>
              <w:jc w:val="center"/>
              <w:rPr>
                <w:rFonts w:eastAsia="黑体"/>
                <w:kern w:val="0"/>
                <w:szCs w:val="21"/>
                <w:highlight w:val="yellow"/>
              </w:rPr>
            </w:pPr>
            <w:r>
              <w:rPr>
                <w:rFonts w:eastAsia="黑体"/>
                <w:kern w:val="0"/>
                <w:szCs w:val="21"/>
              </w:rPr>
              <w:t>建筑物、构筑物</w:t>
            </w:r>
          </w:p>
        </w:tc>
        <w:tc>
          <w:tcPr>
            <w:tcW w:w="5242" w:type="dxa"/>
            <w:gridSpan w:val="3"/>
          </w:tcPr>
          <w:p>
            <w:pPr>
              <w:spacing w:line="360" w:lineRule="atLeast"/>
              <w:ind w:firstLine="174" w:firstLineChars="83"/>
              <w:jc w:val="center"/>
              <w:rPr>
                <w:rFonts w:eastAsia="黑体"/>
                <w:kern w:val="0"/>
                <w:szCs w:val="21"/>
              </w:rPr>
            </w:pPr>
            <w:r>
              <w:rPr>
                <w:rFonts w:eastAsia="黑体"/>
                <w:kern w:val="0"/>
                <w:szCs w:val="21"/>
              </w:rPr>
              <w:t>液氢贮存量</w:t>
            </w:r>
            <w:r>
              <w:rPr>
                <w:rFonts w:hint="eastAsia" w:eastAsia="黑体"/>
                <w:i/>
                <w:kern w:val="0"/>
                <w:szCs w:val="21"/>
              </w:rPr>
              <w:t>m</w:t>
            </w:r>
            <w:r>
              <w:rPr>
                <w:rFonts w:hint="eastAsia" w:eastAsia="黑体"/>
                <w:kern w:val="0"/>
                <w:szCs w:val="21"/>
              </w:rPr>
              <w:t>（kg）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705" w:type="dxa"/>
            <w:vMerge w:val="continue"/>
          </w:tcPr>
          <w:p>
            <w:pPr>
              <w:spacing w:line="360" w:lineRule="atLeast"/>
              <w:ind w:firstLine="360"/>
              <w:rPr>
                <w:rFonts w:eastAsia="黑体"/>
                <w:kern w:val="0"/>
                <w:szCs w:val="21"/>
                <w:highlight w:val="yellow"/>
              </w:rPr>
            </w:pPr>
          </w:p>
        </w:tc>
        <w:tc>
          <w:tcPr>
            <w:tcW w:w="3546" w:type="dxa"/>
            <w:gridSpan w:val="2"/>
            <w:vMerge w:val="continue"/>
          </w:tcPr>
          <w:p>
            <w:pPr>
              <w:spacing w:line="360" w:lineRule="atLeast"/>
              <w:ind w:firstLine="360"/>
              <w:rPr>
                <w:rFonts w:eastAsia="黑体"/>
                <w:kern w:val="0"/>
                <w:szCs w:val="21"/>
                <w:highlight w:val="yellow"/>
              </w:rPr>
            </w:pPr>
          </w:p>
        </w:tc>
        <w:tc>
          <w:tcPr>
            <w:tcW w:w="1614" w:type="dxa"/>
          </w:tcPr>
          <w:p>
            <w:pPr>
              <w:spacing w:line="360" w:lineRule="atLeast"/>
              <w:jc w:val="center"/>
              <w:rPr>
                <w:rFonts w:eastAsia="黑体"/>
                <w:kern w:val="0"/>
                <w:szCs w:val="21"/>
                <w:highlight w:val="cyan"/>
              </w:rPr>
            </w:pPr>
            <w:r>
              <w:rPr>
                <w:rFonts w:hint="eastAsia"/>
              </w:rPr>
              <w:t>11＜</w:t>
            </w:r>
            <w:r>
              <w:rPr>
                <w:rFonts w:hint="eastAsia"/>
                <w:i/>
              </w:rPr>
              <w:t>m</w:t>
            </w:r>
            <w:r>
              <w:rPr>
                <w:rFonts w:hint="eastAsia"/>
              </w:rPr>
              <w:t>≤939</w:t>
            </w:r>
          </w:p>
        </w:tc>
        <w:tc>
          <w:tcPr>
            <w:tcW w:w="1662" w:type="dxa"/>
          </w:tcPr>
          <w:p>
            <w:pPr>
              <w:spacing w:line="360" w:lineRule="atLeast"/>
              <w:jc w:val="center"/>
              <w:rPr>
                <w:rFonts w:eastAsia="黑体"/>
                <w:kern w:val="0"/>
                <w:szCs w:val="21"/>
                <w:highlight w:val="cyan"/>
              </w:rPr>
            </w:pPr>
            <w:r>
              <w:rPr>
                <w:rFonts w:hint="eastAsia"/>
              </w:rPr>
              <w:t>939＜</w:t>
            </w:r>
            <w:r>
              <w:rPr>
                <w:rFonts w:hint="eastAsia"/>
                <w:i/>
              </w:rPr>
              <w:t>m</w:t>
            </w:r>
            <w:r>
              <w:rPr>
                <w:rFonts w:hint="eastAsia"/>
              </w:rPr>
              <w:t>≤4022</w:t>
            </w:r>
          </w:p>
        </w:tc>
        <w:tc>
          <w:tcPr>
            <w:tcW w:w="1966" w:type="dxa"/>
          </w:tcPr>
          <w:p>
            <w:pPr>
              <w:spacing w:line="360" w:lineRule="atLeast"/>
              <w:jc w:val="center"/>
              <w:rPr>
                <w:rFonts w:eastAsia="黑体"/>
                <w:kern w:val="0"/>
                <w:szCs w:val="21"/>
              </w:rPr>
            </w:pPr>
            <w:r>
              <w:rPr>
                <w:rFonts w:hint="eastAsia"/>
              </w:rPr>
              <w:t>4022＜</w:t>
            </w:r>
            <w:r>
              <w:rPr>
                <w:rFonts w:hint="eastAsia"/>
                <w:i/>
              </w:rPr>
              <w:t>m</w:t>
            </w:r>
            <w:r>
              <w:rPr>
                <w:rFonts w:hint="eastAsia"/>
              </w:rPr>
              <w:t>≤20109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Merge w:val="restart"/>
            <w:vAlign w:val="center"/>
          </w:tcPr>
          <w:p>
            <w:pPr>
              <w:spacing w:line="360" w:lineRule="atLeast"/>
              <w:jc w:val="center"/>
              <w:rPr>
                <w:rFonts w:eastAsia="黑体"/>
                <w:kern w:val="0"/>
                <w:szCs w:val="21"/>
                <w:highlight w:val="yellow"/>
              </w:rPr>
            </w:pPr>
            <w:r>
              <w:rPr>
                <w:rFonts w:hint="eastAsia" w:eastAsia="黑体"/>
                <w:kern w:val="0"/>
                <w:szCs w:val="21"/>
              </w:rPr>
              <w:t>1</w:t>
            </w:r>
          </w:p>
        </w:tc>
        <w:tc>
          <w:tcPr>
            <w:tcW w:w="1702" w:type="dxa"/>
            <w:vMerge w:val="restart"/>
          </w:tcPr>
          <w:p>
            <w:pPr>
              <w:spacing w:line="360" w:lineRule="atLeast"/>
              <w:rPr>
                <w:rFonts w:eastAsia="黑体"/>
                <w:kern w:val="0"/>
                <w:szCs w:val="21"/>
                <w:highlight w:val="yellow"/>
              </w:rPr>
            </w:pPr>
            <w:r>
              <w:rPr>
                <w:rFonts w:eastAsia="黑体"/>
                <w:kern w:val="0"/>
                <w:szCs w:val="21"/>
              </w:rPr>
              <w:t>其他建筑物耐火等级</w:t>
            </w:r>
          </w:p>
        </w:tc>
        <w:tc>
          <w:tcPr>
            <w:tcW w:w="1844" w:type="dxa"/>
          </w:tcPr>
          <w:p>
            <w:pPr>
              <w:spacing w:line="360" w:lineRule="atLeast"/>
              <w:ind w:firstLine="360"/>
              <w:rPr>
                <w:rFonts w:eastAsia="黑体"/>
                <w:kern w:val="0"/>
                <w:szCs w:val="21"/>
                <w:highlight w:val="yellow"/>
              </w:rPr>
            </w:pPr>
            <w:r>
              <w:rPr>
                <w:rFonts w:eastAsia="黑体"/>
                <w:kern w:val="0"/>
                <w:szCs w:val="21"/>
              </w:rPr>
              <w:t>一、二级</w:t>
            </w:r>
          </w:p>
        </w:tc>
        <w:tc>
          <w:tcPr>
            <w:tcW w:w="1614" w:type="dxa"/>
          </w:tcPr>
          <w:p>
            <w:pPr>
              <w:spacing w:line="360" w:lineRule="atLeast"/>
              <w:jc w:val="center"/>
              <w:rPr>
                <w:rFonts w:eastAsia="黑体"/>
                <w:kern w:val="0"/>
                <w:szCs w:val="21"/>
                <w:highlight w:val="yellow"/>
              </w:rPr>
            </w:pPr>
            <w:r>
              <w:rPr>
                <w:rFonts w:eastAsia="黑体"/>
                <w:kern w:val="0"/>
                <w:szCs w:val="21"/>
              </w:rPr>
              <w:t>20</w:t>
            </w:r>
          </w:p>
        </w:tc>
        <w:tc>
          <w:tcPr>
            <w:tcW w:w="1662" w:type="dxa"/>
          </w:tcPr>
          <w:p>
            <w:pPr>
              <w:spacing w:line="360" w:lineRule="atLeast"/>
              <w:jc w:val="center"/>
              <w:rPr>
                <w:rFonts w:eastAsia="黑体"/>
                <w:kern w:val="0"/>
                <w:szCs w:val="21"/>
                <w:highlight w:val="yellow"/>
              </w:rPr>
            </w:pPr>
            <w:r>
              <w:rPr>
                <w:rFonts w:eastAsia="黑体"/>
                <w:kern w:val="0"/>
                <w:szCs w:val="21"/>
              </w:rPr>
              <w:t>20</w:t>
            </w:r>
          </w:p>
        </w:tc>
        <w:tc>
          <w:tcPr>
            <w:tcW w:w="1966" w:type="dxa"/>
          </w:tcPr>
          <w:p>
            <w:pPr>
              <w:spacing w:line="360" w:lineRule="atLeast"/>
              <w:jc w:val="center"/>
              <w:rPr>
                <w:rFonts w:eastAsia="黑体"/>
                <w:kern w:val="0"/>
                <w:szCs w:val="21"/>
              </w:rPr>
            </w:pPr>
            <w:r>
              <w:rPr>
                <w:rFonts w:eastAsia="黑体"/>
                <w:kern w:val="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Merge w:val="continue"/>
            <w:vAlign w:val="center"/>
          </w:tcPr>
          <w:p>
            <w:pPr>
              <w:spacing w:line="360" w:lineRule="atLeast"/>
              <w:ind w:firstLine="360"/>
              <w:jc w:val="center"/>
              <w:rPr>
                <w:rFonts w:eastAsia="黑体"/>
                <w:kern w:val="0"/>
                <w:szCs w:val="21"/>
                <w:highlight w:val="yellow"/>
              </w:rPr>
            </w:pPr>
          </w:p>
        </w:tc>
        <w:tc>
          <w:tcPr>
            <w:tcW w:w="1702" w:type="dxa"/>
            <w:vMerge w:val="continue"/>
          </w:tcPr>
          <w:p>
            <w:pPr>
              <w:spacing w:line="360" w:lineRule="atLeast"/>
              <w:ind w:firstLine="360"/>
              <w:rPr>
                <w:rFonts w:eastAsia="黑体"/>
                <w:kern w:val="0"/>
                <w:szCs w:val="21"/>
                <w:highlight w:val="yellow"/>
              </w:rPr>
            </w:pPr>
          </w:p>
        </w:tc>
        <w:tc>
          <w:tcPr>
            <w:tcW w:w="1844" w:type="dxa"/>
          </w:tcPr>
          <w:p>
            <w:pPr>
              <w:spacing w:line="360" w:lineRule="atLeast"/>
              <w:ind w:firstLine="360"/>
              <w:rPr>
                <w:rFonts w:eastAsia="黑体"/>
                <w:kern w:val="0"/>
                <w:szCs w:val="21"/>
                <w:highlight w:val="yellow"/>
              </w:rPr>
            </w:pPr>
            <w:r>
              <w:rPr>
                <w:rFonts w:eastAsia="黑体"/>
                <w:kern w:val="0"/>
                <w:szCs w:val="21"/>
              </w:rPr>
              <w:t>三级</w:t>
            </w:r>
          </w:p>
        </w:tc>
        <w:tc>
          <w:tcPr>
            <w:tcW w:w="1614" w:type="dxa"/>
          </w:tcPr>
          <w:p>
            <w:pPr>
              <w:spacing w:line="360" w:lineRule="atLeast"/>
              <w:jc w:val="center"/>
              <w:rPr>
                <w:rFonts w:eastAsia="黑体"/>
                <w:kern w:val="0"/>
                <w:szCs w:val="21"/>
                <w:highlight w:val="yellow"/>
              </w:rPr>
            </w:pPr>
            <w:r>
              <w:rPr>
                <w:rFonts w:eastAsia="黑体"/>
                <w:kern w:val="0"/>
                <w:szCs w:val="21"/>
              </w:rPr>
              <w:t>25</w:t>
            </w:r>
          </w:p>
        </w:tc>
        <w:tc>
          <w:tcPr>
            <w:tcW w:w="1662" w:type="dxa"/>
          </w:tcPr>
          <w:p>
            <w:pPr>
              <w:spacing w:line="360" w:lineRule="atLeast"/>
              <w:jc w:val="center"/>
              <w:rPr>
                <w:rFonts w:eastAsia="黑体"/>
                <w:kern w:val="0"/>
                <w:szCs w:val="21"/>
                <w:highlight w:val="yellow"/>
              </w:rPr>
            </w:pPr>
            <w:r>
              <w:rPr>
                <w:rFonts w:eastAsia="黑体"/>
                <w:kern w:val="0"/>
                <w:szCs w:val="21"/>
              </w:rPr>
              <w:t>25</w:t>
            </w:r>
          </w:p>
        </w:tc>
        <w:tc>
          <w:tcPr>
            <w:tcW w:w="1966" w:type="dxa"/>
          </w:tcPr>
          <w:p>
            <w:pPr>
              <w:spacing w:line="360" w:lineRule="atLeast"/>
              <w:jc w:val="center"/>
              <w:rPr>
                <w:rFonts w:eastAsia="黑体"/>
                <w:kern w:val="0"/>
                <w:szCs w:val="21"/>
              </w:rPr>
            </w:pPr>
            <w:r>
              <w:rPr>
                <w:rFonts w:eastAsia="黑体"/>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Merge w:val="continue"/>
            <w:vAlign w:val="center"/>
          </w:tcPr>
          <w:p>
            <w:pPr>
              <w:spacing w:line="360" w:lineRule="atLeast"/>
              <w:ind w:firstLine="360"/>
              <w:jc w:val="center"/>
              <w:rPr>
                <w:rFonts w:eastAsia="黑体"/>
                <w:kern w:val="0"/>
                <w:szCs w:val="21"/>
                <w:highlight w:val="yellow"/>
              </w:rPr>
            </w:pPr>
          </w:p>
        </w:tc>
        <w:tc>
          <w:tcPr>
            <w:tcW w:w="1702" w:type="dxa"/>
            <w:vMerge w:val="continue"/>
          </w:tcPr>
          <w:p>
            <w:pPr>
              <w:spacing w:line="360" w:lineRule="atLeast"/>
              <w:ind w:firstLine="360"/>
              <w:rPr>
                <w:rFonts w:eastAsia="黑体"/>
                <w:kern w:val="0"/>
                <w:szCs w:val="21"/>
                <w:highlight w:val="yellow"/>
              </w:rPr>
            </w:pPr>
          </w:p>
        </w:tc>
        <w:tc>
          <w:tcPr>
            <w:tcW w:w="1844" w:type="dxa"/>
          </w:tcPr>
          <w:p>
            <w:pPr>
              <w:spacing w:line="360" w:lineRule="atLeast"/>
              <w:ind w:firstLine="360"/>
              <w:rPr>
                <w:rFonts w:eastAsia="黑体"/>
                <w:kern w:val="0"/>
                <w:szCs w:val="21"/>
                <w:highlight w:val="yellow"/>
              </w:rPr>
            </w:pPr>
            <w:r>
              <w:rPr>
                <w:rFonts w:eastAsia="黑体"/>
                <w:kern w:val="0"/>
                <w:szCs w:val="21"/>
              </w:rPr>
              <w:t>四级</w:t>
            </w:r>
          </w:p>
        </w:tc>
        <w:tc>
          <w:tcPr>
            <w:tcW w:w="1614" w:type="dxa"/>
          </w:tcPr>
          <w:p>
            <w:pPr>
              <w:spacing w:line="360" w:lineRule="atLeast"/>
              <w:jc w:val="center"/>
              <w:rPr>
                <w:rFonts w:eastAsia="黑体"/>
                <w:kern w:val="0"/>
                <w:szCs w:val="21"/>
                <w:highlight w:val="yellow"/>
              </w:rPr>
            </w:pPr>
            <w:r>
              <w:rPr>
                <w:rFonts w:eastAsia="黑体"/>
                <w:kern w:val="0"/>
                <w:szCs w:val="21"/>
              </w:rPr>
              <w:t>30</w:t>
            </w:r>
          </w:p>
        </w:tc>
        <w:tc>
          <w:tcPr>
            <w:tcW w:w="1662" w:type="dxa"/>
          </w:tcPr>
          <w:p>
            <w:pPr>
              <w:spacing w:line="360" w:lineRule="atLeast"/>
              <w:jc w:val="center"/>
              <w:rPr>
                <w:rFonts w:eastAsia="黑体"/>
                <w:kern w:val="0"/>
                <w:szCs w:val="21"/>
                <w:highlight w:val="yellow"/>
              </w:rPr>
            </w:pPr>
            <w:r>
              <w:rPr>
                <w:rFonts w:eastAsia="黑体"/>
                <w:kern w:val="0"/>
                <w:szCs w:val="21"/>
              </w:rPr>
              <w:t>30</w:t>
            </w:r>
          </w:p>
        </w:tc>
        <w:tc>
          <w:tcPr>
            <w:tcW w:w="1966" w:type="dxa"/>
          </w:tcPr>
          <w:p>
            <w:pPr>
              <w:spacing w:line="360" w:lineRule="atLeast"/>
              <w:jc w:val="center"/>
              <w:rPr>
                <w:rFonts w:eastAsia="黑体"/>
                <w:kern w:val="0"/>
                <w:szCs w:val="21"/>
              </w:rPr>
            </w:pPr>
            <w:r>
              <w:rPr>
                <w:rFonts w:eastAsia="黑体"/>
                <w:kern w:val="0"/>
                <w:szCs w:val="21"/>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2</w:t>
            </w:r>
          </w:p>
        </w:tc>
        <w:tc>
          <w:tcPr>
            <w:tcW w:w="3546" w:type="dxa"/>
            <w:gridSpan w:val="2"/>
          </w:tcPr>
          <w:p>
            <w:pPr>
              <w:spacing w:line="360" w:lineRule="atLeast"/>
              <w:rPr>
                <w:rFonts w:eastAsia="黑体"/>
                <w:kern w:val="0"/>
                <w:szCs w:val="21"/>
                <w:highlight w:val="yellow"/>
              </w:rPr>
            </w:pPr>
            <w:r>
              <w:rPr>
                <w:rFonts w:eastAsia="黑体"/>
                <w:kern w:val="0"/>
                <w:szCs w:val="21"/>
              </w:rPr>
              <w:t>明火或散发火花地点</w:t>
            </w:r>
          </w:p>
        </w:tc>
        <w:tc>
          <w:tcPr>
            <w:tcW w:w="1614" w:type="dxa"/>
            <w:vAlign w:val="center"/>
          </w:tcPr>
          <w:p>
            <w:pPr>
              <w:spacing w:line="360" w:lineRule="atLeast"/>
              <w:jc w:val="center"/>
              <w:rPr>
                <w:rFonts w:eastAsia="黑体"/>
                <w:kern w:val="0"/>
                <w:szCs w:val="21"/>
                <w:highlight w:val="yellow"/>
              </w:rPr>
            </w:pPr>
            <w:r>
              <w:rPr>
                <w:rFonts w:eastAsia="黑体"/>
                <w:kern w:val="0"/>
                <w:szCs w:val="21"/>
              </w:rPr>
              <w:t>35</w:t>
            </w:r>
          </w:p>
        </w:tc>
        <w:tc>
          <w:tcPr>
            <w:tcW w:w="1662" w:type="dxa"/>
            <w:vAlign w:val="center"/>
          </w:tcPr>
          <w:p>
            <w:pPr>
              <w:spacing w:line="360" w:lineRule="atLeast"/>
              <w:jc w:val="center"/>
              <w:rPr>
                <w:rFonts w:eastAsia="黑体"/>
                <w:kern w:val="0"/>
                <w:szCs w:val="21"/>
                <w:highlight w:val="yellow"/>
              </w:rPr>
            </w:pPr>
            <w:r>
              <w:rPr>
                <w:rFonts w:eastAsia="黑体"/>
                <w:kern w:val="0"/>
                <w:szCs w:val="21"/>
              </w:rPr>
              <w:t>40</w:t>
            </w:r>
          </w:p>
        </w:tc>
        <w:tc>
          <w:tcPr>
            <w:tcW w:w="1966" w:type="dxa"/>
            <w:vAlign w:val="center"/>
          </w:tcPr>
          <w:p>
            <w:pPr>
              <w:spacing w:line="360" w:lineRule="atLeast"/>
              <w:jc w:val="center"/>
              <w:rPr>
                <w:rFonts w:eastAsia="黑体"/>
                <w:kern w:val="0"/>
                <w:szCs w:val="21"/>
              </w:rPr>
            </w:pPr>
            <w:r>
              <w:rPr>
                <w:rFonts w:eastAsia="黑体"/>
                <w:kern w:val="0"/>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3</w:t>
            </w:r>
          </w:p>
        </w:tc>
        <w:tc>
          <w:tcPr>
            <w:tcW w:w="3546" w:type="dxa"/>
            <w:gridSpan w:val="2"/>
          </w:tcPr>
          <w:p>
            <w:pPr>
              <w:spacing w:line="360" w:lineRule="atLeast"/>
              <w:rPr>
                <w:rFonts w:eastAsia="黑体"/>
                <w:kern w:val="0"/>
                <w:szCs w:val="21"/>
                <w:highlight w:val="yellow"/>
              </w:rPr>
            </w:pPr>
            <w:r>
              <w:rPr>
                <w:rFonts w:eastAsia="黑体"/>
                <w:kern w:val="0"/>
                <w:szCs w:val="21"/>
              </w:rPr>
              <w:t>民用建筑</w:t>
            </w:r>
          </w:p>
        </w:tc>
        <w:tc>
          <w:tcPr>
            <w:tcW w:w="1614" w:type="dxa"/>
            <w:vAlign w:val="center"/>
          </w:tcPr>
          <w:p>
            <w:pPr>
              <w:spacing w:line="360" w:lineRule="atLeast"/>
              <w:jc w:val="center"/>
              <w:rPr>
                <w:rFonts w:eastAsia="黑体"/>
                <w:kern w:val="0"/>
                <w:szCs w:val="21"/>
                <w:highlight w:val="yellow"/>
              </w:rPr>
            </w:pPr>
            <w:r>
              <w:rPr>
                <w:rFonts w:eastAsia="黑体"/>
                <w:kern w:val="0"/>
                <w:szCs w:val="21"/>
              </w:rPr>
              <w:t>35</w:t>
            </w:r>
          </w:p>
        </w:tc>
        <w:tc>
          <w:tcPr>
            <w:tcW w:w="1662" w:type="dxa"/>
            <w:vAlign w:val="center"/>
          </w:tcPr>
          <w:p>
            <w:pPr>
              <w:spacing w:line="360" w:lineRule="atLeast"/>
              <w:jc w:val="center"/>
              <w:rPr>
                <w:rFonts w:eastAsia="黑体"/>
                <w:kern w:val="0"/>
                <w:szCs w:val="21"/>
                <w:highlight w:val="yellow"/>
              </w:rPr>
            </w:pPr>
            <w:r>
              <w:rPr>
                <w:rFonts w:eastAsia="黑体"/>
                <w:kern w:val="0"/>
                <w:szCs w:val="21"/>
              </w:rPr>
              <w:t>40</w:t>
            </w:r>
          </w:p>
        </w:tc>
        <w:tc>
          <w:tcPr>
            <w:tcW w:w="1966" w:type="dxa"/>
            <w:vAlign w:val="center"/>
          </w:tcPr>
          <w:p>
            <w:pPr>
              <w:spacing w:line="360" w:lineRule="atLeast"/>
              <w:jc w:val="center"/>
              <w:rPr>
                <w:rFonts w:eastAsia="黑体"/>
                <w:kern w:val="0"/>
                <w:szCs w:val="21"/>
              </w:rPr>
            </w:pPr>
            <w:r>
              <w:rPr>
                <w:rFonts w:eastAsia="黑体"/>
                <w:kern w:val="0"/>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4</w:t>
            </w:r>
          </w:p>
        </w:tc>
        <w:tc>
          <w:tcPr>
            <w:tcW w:w="3546" w:type="dxa"/>
            <w:gridSpan w:val="2"/>
          </w:tcPr>
          <w:p>
            <w:pPr>
              <w:spacing w:line="360" w:lineRule="atLeast"/>
              <w:rPr>
                <w:rFonts w:eastAsia="黑体"/>
                <w:kern w:val="0"/>
                <w:szCs w:val="21"/>
                <w:highlight w:val="yellow"/>
              </w:rPr>
            </w:pPr>
            <w:r>
              <w:rPr>
                <w:rFonts w:eastAsia="黑体"/>
                <w:kern w:val="0"/>
                <w:szCs w:val="21"/>
              </w:rPr>
              <w:t>重要公共建筑</w:t>
            </w:r>
          </w:p>
        </w:tc>
        <w:tc>
          <w:tcPr>
            <w:tcW w:w="1614" w:type="dxa"/>
            <w:vAlign w:val="center"/>
          </w:tcPr>
          <w:p>
            <w:pPr>
              <w:spacing w:line="360" w:lineRule="atLeast"/>
              <w:jc w:val="center"/>
              <w:rPr>
                <w:rFonts w:eastAsia="黑体"/>
                <w:kern w:val="0"/>
                <w:szCs w:val="21"/>
                <w:highlight w:val="yellow"/>
              </w:rPr>
            </w:pPr>
            <w:r>
              <w:rPr>
                <w:rFonts w:eastAsia="黑体"/>
                <w:kern w:val="0"/>
                <w:szCs w:val="21"/>
              </w:rPr>
              <w:t>50</w:t>
            </w:r>
          </w:p>
        </w:tc>
        <w:tc>
          <w:tcPr>
            <w:tcW w:w="1662" w:type="dxa"/>
            <w:vAlign w:val="center"/>
          </w:tcPr>
          <w:p>
            <w:pPr>
              <w:spacing w:line="360" w:lineRule="atLeast"/>
              <w:jc w:val="center"/>
              <w:rPr>
                <w:rFonts w:eastAsia="黑体"/>
                <w:kern w:val="0"/>
                <w:szCs w:val="21"/>
                <w:highlight w:val="yellow"/>
              </w:rPr>
            </w:pPr>
            <w:r>
              <w:rPr>
                <w:rFonts w:eastAsia="黑体"/>
                <w:kern w:val="0"/>
                <w:szCs w:val="21"/>
              </w:rPr>
              <w:t>50</w:t>
            </w:r>
          </w:p>
        </w:tc>
        <w:tc>
          <w:tcPr>
            <w:tcW w:w="1966" w:type="dxa"/>
            <w:vAlign w:val="center"/>
          </w:tcPr>
          <w:p>
            <w:pPr>
              <w:spacing w:line="360" w:lineRule="atLeast"/>
              <w:jc w:val="center"/>
              <w:rPr>
                <w:rFonts w:eastAsia="黑体"/>
                <w:kern w:val="0"/>
                <w:szCs w:val="21"/>
              </w:rPr>
            </w:pPr>
            <w:r>
              <w:rPr>
                <w:rFonts w:eastAsia="黑体"/>
                <w:kern w:val="0"/>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5</w:t>
            </w:r>
          </w:p>
        </w:tc>
        <w:tc>
          <w:tcPr>
            <w:tcW w:w="3546" w:type="dxa"/>
            <w:gridSpan w:val="2"/>
          </w:tcPr>
          <w:p>
            <w:pPr>
              <w:spacing w:line="360" w:lineRule="atLeast"/>
              <w:rPr>
                <w:rFonts w:eastAsia="黑体"/>
                <w:kern w:val="0"/>
                <w:szCs w:val="21"/>
                <w:highlight w:val="yellow"/>
              </w:rPr>
            </w:pPr>
            <w:r>
              <w:rPr>
                <w:rFonts w:eastAsia="黑体"/>
                <w:kern w:val="0"/>
                <w:szCs w:val="21"/>
              </w:rPr>
              <w:t>变压器总油量大于5t的室外变、配电站</w:t>
            </w:r>
          </w:p>
        </w:tc>
        <w:tc>
          <w:tcPr>
            <w:tcW w:w="1614" w:type="dxa"/>
            <w:vAlign w:val="center"/>
          </w:tcPr>
          <w:p>
            <w:pPr>
              <w:spacing w:line="360" w:lineRule="atLeast"/>
              <w:jc w:val="center"/>
              <w:rPr>
                <w:rFonts w:eastAsia="黑体"/>
                <w:kern w:val="0"/>
                <w:szCs w:val="21"/>
                <w:highlight w:val="yellow"/>
              </w:rPr>
            </w:pPr>
            <w:r>
              <w:rPr>
                <w:rFonts w:eastAsia="黑体"/>
                <w:kern w:val="0"/>
                <w:szCs w:val="21"/>
              </w:rPr>
              <w:t>35</w:t>
            </w:r>
          </w:p>
        </w:tc>
        <w:tc>
          <w:tcPr>
            <w:tcW w:w="1662" w:type="dxa"/>
            <w:vAlign w:val="center"/>
          </w:tcPr>
          <w:p>
            <w:pPr>
              <w:spacing w:line="360" w:lineRule="atLeast"/>
              <w:jc w:val="center"/>
              <w:rPr>
                <w:rFonts w:eastAsia="黑体"/>
                <w:kern w:val="0"/>
                <w:szCs w:val="21"/>
                <w:highlight w:val="yellow"/>
              </w:rPr>
            </w:pPr>
            <w:r>
              <w:rPr>
                <w:rFonts w:eastAsia="黑体"/>
                <w:kern w:val="0"/>
                <w:szCs w:val="21"/>
              </w:rPr>
              <w:t>40</w:t>
            </w:r>
          </w:p>
        </w:tc>
        <w:tc>
          <w:tcPr>
            <w:tcW w:w="1966" w:type="dxa"/>
            <w:vAlign w:val="center"/>
          </w:tcPr>
          <w:p>
            <w:pPr>
              <w:spacing w:line="360" w:lineRule="atLeast"/>
              <w:jc w:val="center"/>
              <w:rPr>
                <w:rFonts w:eastAsia="黑体"/>
                <w:kern w:val="0"/>
                <w:szCs w:val="21"/>
              </w:rPr>
            </w:pPr>
            <w:r>
              <w:rPr>
                <w:rFonts w:eastAsia="黑体"/>
                <w:kern w:val="0"/>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6</w:t>
            </w:r>
          </w:p>
        </w:tc>
        <w:tc>
          <w:tcPr>
            <w:tcW w:w="3546" w:type="dxa"/>
            <w:gridSpan w:val="2"/>
          </w:tcPr>
          <w:p>
            <w:pPr>
              <w:spacing w:line="360" w:lineRule="atLeast"/>
              <w:rPr>
                <w:rFonts w:eastAsia="黑体"/>
                <w:kern w:val="0"/>
                <w:szCs w:val="21"/>
                <w:highlight w:val="yellow"/>
              </w:rPr>
            </w:pPr>
            <w:r>
              <w:rPr>
                <w:rFonts w:eastAsia="黑体"/>
                <w:kern w:val="0"/>
                <w:szCs w:val="21"/>
              </w:rPr>
              <w:t>架空电</w:t>
            </w:r>
            <w:r>
              <w:rPr>
                <w:rFonts w:hint="eastAsia" w:eastAsia="黑体"/>
                <w:kern w:val="0"/>
                <w:szCs w:val="21"/>
              </w:rPr>
              <w:t>力</w:t>
            </w:r>
            <w:r>
              <w:rPr>
                <w:rFonts w:eastAsia="黑体"/>
                <w:kern w:val="0"/>
                <w:szCs w:val="21"/>
              </w:rPr>
              <w:t>线</w:t>
            </w:r>
          </w:p>
        </w:tc>
        <w:tc>
          <w:tcPr>
            <w:tcW w:w="5242" w:type="dxa"/>
            <w:gridSpan w:val="3"/>
          </w:tcPr>
          <w:p>
            <w:pPr>
              <w:spacing w:line="360" w:lineRule="atLeast"/>
              <w:jc w:val="center"/>
              <w:rPr>
                <w:rFonts w:eastAsia="黑体"/>
                <w:kern w:val="0"/>
                <w:szCs w:val="21"/>
              </w:rPr>
            </w:pPr>
            <w:r>
              <w:rPr>
                <w:rFonts w:eastAsia="黑体"/>
                <w:kern w:val="0"/>
                <w:szCs w:val="21"/>
              </w:rPr>
              <w:t>1.5倍电杆高度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7</w:t>
            </w:r>
          </w:p>
        </w:tc>
        <w:tc>
          <w:tcPr>
            <w:tcW w:w="3546" w:type="dxa"/>
            <w:gridSpan w:val="2"/>
            <w:vAlign w:val="center"/>
          </w:tcPr>
          <w:p>
            <w:pPr>
              <w:spacing w:line="360" w:lineRule="atLeast"/>
              <w:jc w:val="left"/>
              <w:rPr>
                <w:rFonts w:eastAsia="黑体"/>
                <w:kern w:val="0"/>
                <w:szCs w:val="21"/>
                <w:highlight w:val="yellow"/>
              </w:rPr>
            </w:pPr>
            <w:r>
              <w:rPr>
                <w:rFonts w:eastAsia="黑体"/>
                <w:kern w:val="0"/>
                <w:szCs w:val="21"/>
              </w:rPr>
              <w:t>厂外铁路线</w:t>
            </w:r>
            <w:r>
              <w:rPr>
                <w:rFonts w:hint="eastAsia" w:eastAsia="黑体"/>
                <w:kern w:val="0"/>
                <w:szCs w:val="21"/>
              </w:rPr>
              <w:t>（</w:t>
            </w:r>
            <w:r>
              <w:rPr>
                <w:rFonts w:eastAsia="黑体"/>
                <w:kern w:val="0"/>
                <w:szCs w:val="21"/>
              </w:rPr>
              <w:t>中心线</w:t>
            </w:r>
            <w:r>
              <w:rPr>
                <w:rFonts w:hint="eastAsia" w:eastAsia="黑体"/>
                <w:kern w:val="0"/>
                <w:szCs w:val="21"/>
              </w:rPr>
              <w:t>）</w:t>
            </w:r>
          </w:p>
        </w:tc>
        <w:tc>
          <w:tcPr>
            <w:tcW w:w="1614" w:type="dxa"/>
            <w:vAlign w:val="center"/>
          </w:tcPr>
          <w:p>
            <w:pPr>
              <w:spacing w:line="360" w:lineRule="atLeast"/>
              <w:jc w:val="center"/>
              <w:rPr>
                <w:rFonts w:eastAsia="黑体"/>
                <w:kern w:val="0"/>
                <w:szCs w:val="21"/>
                <w:highlight w:val="yellow"/>
              </w:rPr>
            </w:pPr>
            <w:r>
              <w:rPr>
                <w:rFonts w:eastAsia="黑体"/>
                <w:kern w:val="0"/>
                <w:szCs w:val="21"/>
              </w:rPr>
              <w:t>30</w:t>
            </w:r>
          </w:p>
        </w:tc>
        <w:tc>
          <w:tcPr>
            <w:tcW w:w="1662" w:type="dxa"/>
            <w:vAlign w:val="center"/>
          </w:tcPr>
          <w:p>
            <w:pPr>
              <w:spacing w:line="360" w:lineRule="atLeast"/>
              <w:jc w:val="center"/>
              <w:rPr>
                <w:rFonts w:eastAsia="黑体"/>
                <w:kern w:val="0"/>
                <w:szCs w:val="21"/>
                <w:highlight w:val="yellow"/>
              </w:rPr>
            </w:pPr>
            <w:r>
              <w:rPr>
                <w:rFonts w:eastAsia="黑体"/>
                <w:kern w:val="0"/>
                <w:szCs w:val="21"/>
              </w:rPr>
              <w:t>30</w:t>
            </w:r>
          </w:p>
        </w:tc>
        <w:tc>
          <w:tcPr>
            <w:tcW w:w="1966" w:type="dxa"/>
            <w:vAlign w:val="center"/>
          </w:tcPr>
          <w:p>
            <w:pPr>
              <w:spacing w:line="360" w:lineRule="atLeast"/>
              <w:jc w:val="center"/>
              <w:rPr>
                <w:rFonts w:eastAsia="黑体"/>
                <w:kern w:val="0"/>
                <w:szCs w:val="21"/>
              </w:rPr>
            </w:pPr>
            <w:r>
              <w:rPr>
                <w:rFonts w:eastAsia="黑体"/>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8</w:t>
            </w:r>
          </w:p>
        </w:tc>
        <w:tc>
          <w:tcPr>
            <w:tcW w:w="3546" w:type="dxa"/>
            <w:gridSpan w:val="2"/>
            <w:vAlign w:val="center"/>
          </w:tcPr>
          <w:p>
            <w:pPr>
              <w:spacing w:line="360" w:lineRule="atLeast"/>
              <w:jc w:val="left"/>
              <w:rPr>
                <w:rFonts w:eastAsia="黑体"/>
                <w:kern w:val="0"/>
                <w:szCs w:val="21"/>
                <w:highlight w:val="yellow"/>
              </w:rPr>
            </w:pPr>
            <w:r>
              <w:rPr>
                <w:rFonts w:eastAsia="黑体"/>
                <w:kern w:val="0"/>
                <w:szCs w:val="21"/>
              </w:rPr>
              <w:t>厂内铁路线</w:t>
            </w:r>
            <w:r>
              <w:rPr>
                <w:rFonts w:hint="eastAsia" w:eastAsia="黑体"/>
                <w:kern w:val="0"/>
                <w:szCs w:val="21"/>
              </w:rPr>
              <w:t>（</w:t>
            </w:r>
            <w:r>
              <w:rPr>
                <w:rFonts w:eastAsia="黑体"/>
                <w:kern w:val="0"/>
                <w:szCs w:val="21"/>
              </w:rPr>
              <w:t>中心线</w:t>
            </w:r>
            <w:r>
              <w:rPr>
                <w:rFonts w:hint="eastAsia" w:eastAsia="黑体"/>
                <w:kern w:val="0"/>
                <w:szCs w:val="21"/>
              </w:rPr>
              <w:t>）</w:t>
            </w:r>
          </w:p>
        </w:tc>
        <w:tc>
          <w:tcPr>
            <w:tcW w:w="1614" w:type="dxa"/>
            <w:vAlign w:val="center"/>
          </w:tcPr>
          <w:p>
            <w:pPr>
              <w:spacing w:line="360" w:lineRule="atLeast"/>
              <w:jc w:val="center"/>
              <w:rPr>
                <w:rFonts w:eastAsia="黑体"/>
                <w:kern w:val="0"/>
                <w:szCs w:val="21"/>
                <w:highlight w:val="yellow"/>
              </w:rPr>
            </w:pPr>
            <w:r>
              <w:rPr>
                <w:rFonts w:eastAsia="黑体"/>
                <w:kern w:val="0"/>
                <w:szCs w:val="21"/>
              </w:rPr>
              <w:t>20</w:t>
            </w:r>
          </w:p>
        </w:tc>
        <w:tc>
          <w:tcPr>
            <w:tcW w:w="1662" w:type="dxa"/>
            <w:vAlign w:val="center"/>
          </w:tcPr>
          <w:p>
            <w:pPr>
              <w:spacing w:line="360" w:lineRule="atLeast"/>
              <w:jc w:val="center"/>
              <w:rPr>
                <w:rFonts w:eastAsia="黑体"/>
                <w:kern w:val="0"/>
                <w:szCs w:val="21"/>
                <w:highlight w:val="yellow"/>
              </w:rPr>
            </w:pPr>
            <w:r>
              <w:rPr>
                <w:rFonts w:eastAsia="黑体"/>
                <w:kern w:val="0"/>
                <w:szCs w:val="21"/>
              </w:rPr>
              <w:t>20</w:t>
            </w:r>
          </w:p>
        </w:tc>
        <w:tc>
          <w:tcPr>
            <w:tcW w:w="1966" w:type="dxa"/>
            <w:vAlign w:val="center"/>
          </w:tcPr>
          <w:p>
            <w:pPr>
              <w:spacing w:line="360" w:lineRule="atLeast"/>
              <w:jc w:val="center"/>
              <w:rPr>
                <w:rFonts w:eastAsia="黑体"/>
                <w:kern w:val="0"/>
                <w:szCs w:val="21"/>
              </w:rPr>
            </w:pPr>
            <w:r>
              <w:rPr>
                <w:rFonts w:eastAsia="黑体"/>
                <w:kern w:val="0"/>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9</w:t>
            </w:r>
          </w:p>
        </w:tc>
        <w:tc>
          <w:tcPr>
            <w:tcW w:w="3546" w:type="dxa"/>
            <w:gridSpan w:val="2"/>
            <w:vAlign w:val="center"/>
          </w:tcPr>
          <w:p>
            <w:pPr>
              <w:spacing w:line="360" w:lineRule="atLeast"/>
              <w:jc w:val="left"/>
              <w:rPr>
                <w:rFonts w:eastAsia="黑体"/>
                <w:kern w:val="0"/>
                <w:szCs w:val="21"/>
                <w:highlight w:val="yellow"/>
              </w:rPr>
            </w:pPr>
            <w:r>
              <w:rPr>
                <w:rFonts w:eastAsia="黑体"/>
                <w:kern w:val="0"/>
                <w:szCs w:val="21"/>
              </w:rPr>
              <w:t>厂外道路</w:t>
            </w:r>
            <w:r>
              <w:rPr>
                <w:rFonts w:eastAsia="黑体"/>
              </w:rPr>
              <w:t>（相邻侧路边）</w:t>
            </w:r>
          </w:p>
        </w:tc>
        <w:tc>
          <w:tcPr>
            <w:tcW w:w="1614" w:type="dxa"/>
            <w:vAlign w:val="center"/>
          </w:tcPr>
          <w:p>
            <w:pPr>
              <w:spacing w:line="360" w:lineRule="atLeast"/>
              <w:jc w:val="center"/>
              <w:rPr>
                <w:rFonts w:eastAsia="黑体"/>
                <w:kern w:val="0"/>
                <w:szCs w:val="21"/>
                <w:highlight w:val="yellow"/>
              </w:rPr>
            </w:pPr>
            <w:r>
              <w:rPr>
                <w:rFonts w:eastAsia="黑体"/>
                <w:kern w:val="0"/>
                <w:szCs w:val="21"/>
              </w:rPr>
              <w:t>15</w:t>
            </w:r>
          </w:p>
        </w:tc>
        <w:tc>
          <w:tcPr>
            <w:tcW w:w="1662" w:type="dxa"/>
            <w:vAlign w:val="center"/>
          </w:tcPr>
          <w:p>
            <w:pPr>
              <w:spacing w:line="360" w:lineRule="atLeast"/>
              <w:jc w:val="center"/>
              <w:rPr>
                <w:rFonts w:eastAsia="黑体"/>
                <w:kern w:val="0"/>
                <w:szCs w:val="21"/>
                <w:highlight w:val="yellow"/>
              </w:rPr>
            </w:pPr>
            <w:r>
              <w:rPr>
                <w:rFonts w:eastAsia="黑体"/>
                <w:kern w:val="0"/>
                <w:szCs w:val="21"/>
              </w:rPr>
              <w:t>15</w:t>
            </w:r>
          </w:p>
        </w:tc>
        <w:tc>
          <w:tcPr>
            <w:tcW w:w="1966" w:type="dxa"/>
            <w:vAlign w:val="center"/>
          </w:tcPr>
          <w:p>
            <w:pPr>
              <w:spacing w:line="360" w:lineRule="atLeast"/>
              <w:jc w:val="center"/>
              <w:rPr>
                <w:rFonts w:eastAsia="黑体"/>
                <w:kern w:val="0"/>
                <w:szCs w:val="21"/>
              </w:rPr>
            </w:pPr>
            <w:r>
              <w:rPr>
                <w:rFonts w:eastAsia="黑体"/>
                <w:kern w:val="0"/>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10</w:t>
            </w:r>
          </w:p>
        </w:tc>
        <w:tc>
          <w:tcPr>
            <w:tcW w:w="3546" w:type="dxa"/>
            <w:gridSpan w:val="2"/>
            <w:vAlign w:val="center"/>
          </w:tcPr>
          <w:p>
            <w:pPr>
              <w:spacing w:line="360" w:lineRule="atLeast"/>
              <w:jc w:val="left"/>
              <w:rPr>
                <w:rFonts w:eastAsia="黑体"/>
                <w:kern w:val="0"/>
                <w:szCs w:val="21"/>
                <w:highlight w:val="yellow"/>
              </w:rPr>
            </w:pPr>
            <w:r>
              <w:rPr>
                <w:rFonts w:eastAsia="黑体"/>
                <w:kern w:val="0"/>
                <w:szCs w:val="21"/>
              </w:rPr>
              <w:t>厂内主要道路</w:t>
            </w:r>
            <w:r>
              <w:rPr>
                <w:rFonts w:eastAsia="黑体"/>
              </w:rPr>
              <w:t>（相邻侧路边）</w:t>
            </w:r>
          </w:p>
        </w:tc>
        <w:tc>
          <w:tcPr>
            <w:tcW w:w="1614" w:type="dxa"/>
            <w:vAlign w:val="center"/>
          </w:tcPr>
          <w:p>
            <w:pPr>
              <w:spacing w:line="360" w:lineRule="atLeast"/>
              <w:jc w:val="center"/>
              <w:rPr>
                <w:rFonts w:eastAsia="黑体"/>
                <w:kern w:val="0"/>
                <w:szCs w:val="21"/>
                <w:highlight w:val="yellow"/>
              </w:rPr>
            </w:pPr>
            <w:r>
              <w:rPr>
                <w:rFonts w:eastAsia="黑体"/>
                <w:kern w:val="0"/>
                <w:szCs w:val="21"/>
              </w:rPr>
              <w:t>10</w:t>
            </w:r>
          </w:p>
        </w:tc>
        <w:tc>
          <w:tcPr>
            <w:tcW w:w="1662" w:type="dxa"/>
            <w:vAlign w:val="center"/>
          </w:tcPr>
          <w:p>
            <w:pPr>
              <w:spacing w:line="360" w:lineRule="atLeast"/>
              <w:jc w:val="center"/>
              <w:rPr>
                <w:rFonts w:eastAsia="黑体"/>
                <w:kern w:val="0"/>
                <w:szCs w:val="21"/>
                <w:highlight w:val="yellow"/>
              </w:rPr>
            </w:pPr>
            <w:r>
              <w:rPr>
                <w:rFonts w:eastAsia="黑体"/>
                <w:kern w:val="0"/>
                <w:szCs w:val="21"/>
              </w:rPr>
              <w:t>10</w:t>
            </w:r>
          </w:p>
        </w:tc>
        <w:tc>
          <w:tcPr>
            <w:tcW w:w="1966" w:type="dxa"/>
            <w:vAlign w:val="center"/>
          </w:tcPr>
          <w:p>
            <w:pPr>
              <w:spacing w:line="360" w:lineRule="atLeast"/>
              <w:jc w:val="center"/>
              <w:rPr>
                <w:rFonts w:eastAsia="黑体"/>
                <w:kern w:val="0"/>
                <w:szCs w:val="21"/>
              </w:rPr>
            </w:pPr>
            <w:r>
              <w:rPr>
                <w:rFonts w:eastAsia="黑体"/>
                <w:kern w:val="0"/>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11</w:t>
            </w:r>
          </w:p>
        </w:tc>
        <w:tc>
          <w:tcPr>
            <w:tcW w:w="3546" w:type="dxa"/>
            <w:gridSpan w:val="2"/>
            <w:vAlign w:val="center"/>
          </w:tcPr>
          <w:p>
            <w:pPr>
              <w:spacing w:line="360" w:lineRule="atLeast"/>
              <w:jc w:val="left"/>
              <w:rPr>
                <w:rFonts w:eastAsia="黑体"/>
                <w:kern w:val="0"/>
                <w:szCs w:val="21"/>
                <w:highlight w:val="yellow"/>
              </w:rPr>
            </w:pPr>
            <w:r>
              <w:rPr>
                <w:rFonts w:eastAsia="黑体"/>
                <w:kern w:val="0"/>
                <w:szCs w:val="21"/>
              </w:rPr>
              <w:t>厂内次要道路</w:t>
            </w:r>
            <w:r>
              <w:rPr>
                <w:rFonts w:eastAsia="黑体"/>
              </w:rPr>
              <w:t>（相邻侧路边）</w:t>
            </w:r>
          </w:p>
        </w:tc>
        <w:tc>
          <w:tcPr>
            <w:tcW w:w="1614" w:type="dxa"/>
            <w:vAlign w:val="center"/>
          </w:tcPr>
          <w:p>
            <w:pPr>
              <w:spacing w:line="360" w:lineRule="atLeast"/>
              <w:jc w:val="center"/>
              <w:rPr>
                <w:rFonts w:eastAsia="黑体"/>
                <w:kern w:val="0"/>
                <w:szCs w:val="21"/>
                <w:highlight w:val="yellow"/>
              </w:rPr>
            </w:pPr>
            <w:r>
              <w:rPr>
                <w:rFonts w:eastAsia="黑体"/>
                <w:kern w:val="0"/>
                <w:szCs w:val="21"/>
              </w:rPr>
              <w:t>5</w:t>
            </w:r>
          </w:p>
        </w:tc>
        <w:tc>
          <w:tcPr>
            <w:tcW w:w="1662" w:type="dxa"/>
            <w:vAlign w:val="center"/>
          </w:tcPr>
          <w:p>
            <w:pPr>
              <w:spacing w:line="360" w:lineRule="atLeast"/>
              <w:jc w:val="center"/>
              <w:rPr>
                <w:rFonts w:eastAsia="黑体"/>
                <w:kern w:val="0"/>
                <w:szCs w:val="21"/>
                <w:highlight w:val="yellow"/>
              </w:rPr>
            </w:pPr>
            <w:r>
              <w:rPr>
                <w:rFonts w:eastAsia="黑体"/>
                <w:kern w:val="0"/>
                <w:szCs w:val="21"/>
              </w:rPr>
              <w:t>5</w:t>
            </w:r>
          </w:p>
        </w:tc>
        <w:tc>
          <w:tcPr>
            <w:tcW w:w="1966" w:type="dxa"/>
            <w:vAlign w:val="center"/>
          </w:tcPr>
          <w:p>
            <w:pPr>
              <w:spacing w:line="360" w:lineRule="atLeast"/>
              <w:jc w:val="center"/>
              <w:rPr>
                <w:rFonts w:eastAsia="黑体"/>
                <w:kern w:val="0"/>
                <w:szCs w:val="21"/>
              </w:rPr>
            </w:pPr>
            <w:r>
              <w:rPr>
                <w:rFonts w:eastAsia="黑体"/>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12</w:t>
            </w:r>
          </w:p>
        </w:tc>
        <w:tc>
          <w:tcPr>
            <w:tcW w:w="3546" w:type="dxa"/>
            <w:gridSpan w:val="2"/>
          </w:tcPr>
          <w:p>
            <w:pPr>
              <w:spacing w:line="360" w:lineRule="atLeast"/>
              <w:jc w:val="left"/>
              <w:rPr>
                <w:rFonts w:eastAsia="黑体"/>
                <w:kern w:val="0"/>
                <w:szCs w:val="21"/>
                <w:highlight w:val="yellow"/>
              </w:rPr>
            </w:pPr>
            <w:r>
              <w:rPr>
                <w:rFonts w:eastAsia="黑体"/>
                <w:kern w:val="0"/>
                <w:szCs w:val="21"/>
              </w:rPr>
              <w:t xml:space="preserve">停车场 </w:t>
            </w:r>
          </w:p>
        </w:tc>
        <w:tc>
          <w:tcPr>
            <w:tcW w:w="1614" w:type="dxa"/>
          </w:tcPr>
          <w:p>
            <w:pPr>
              <w:spacing w:line="360" w:lineRule="atLeast"/>
              <w:jc w:val="center"/>
              <w:rPr>
                <w:rFonts w:eastAsia="黑体"/>
                <w:kern w:val="0"/>
                <w:szCs w:val="21"/>
                <w:highlight w:val="yellow"/>
              </w:rPr>
            </w:pPr>
            <w:r>
              <w:rPr>
                <w:rFonts w:eastAsia="黑体"/>
                <w:kern w:val="0"/>
                <w:szCs w:val="21"/>
              </w:rPr>
              <w:t>15</w:t>
            </w:r>
          </w:p>
        </w:tc>
        <w:tc>
          <w:tcPr>
            <w:tcW w:w="1662" w:type="dxa"/>
          </w:tcPr>
          <w:p>
            <w:pPr>
              <w:spacing w:line="360" w:lineRule="atLeast"/>
              <w:jc w:val="center"/>
              <w:rPr>
                <w:rFonts w:eastAsia="黑体"/>
                <w:kern w:val="0"/>
                <w:szCs w:val="21"/>
                <w:highlight w:val="yellow"/>
              </w:rPr>
            </w:pPr>
            <w:r>
              <w:rPr>
                <w:rFonts w:eastAsia="黑体"/>
                <w:kern w:val="0"/>
                <w:szCs w:val="21"/>
              </w:rPr>
              <w:t>15</w:t>
            </w:r>
          </w:p>
        </w:tc>
        <w:tc>
          <w:tcPr>
            <w:tcW w:w="1966" w:type="dxa"/>
          </w:tcPr>
          <w:p>
            <w:pPr>
              <w:spacing w:line="360" w:lineRule="atLeast"/>
              <w:jc w:val="center"/>
              <w:rPr>
                <w:rFonts w:eastAsia="黑体"/>
                <w:kern w:val="0"/>
                <w:szCs w:val="21"/>
              </w:rPr>
            </w:pPr>
            <w:r>
              <w:rPr>
                <w:rFonts w:eastAsia="黑体"/>
                <w:kern w:val="0"/>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Merge w:val="restart"/>
            <w:vAlign w:val="center"/>
          </w:tcPr>
          <w:p>
            <w:pPr>
              <w:spacing w:line="360" w:lineRule="atLeast"/>
              <w:jc w:val="center"/>
              <w:rPr>
                <w:rFonts w:eastAsia="黑体"/>
                <w:kern w:val="0"/>
                <w:szCs w:val="21"/>
                <w:highlight w:val="yellow"/>
              </w:rPr>
            </w:pPr>
            <w:r>
              <w:rPr>
                <w:rFonts w:hint="eastAsia" w:eastAsia="黑体"/>
                <w:kern w:val="0"/>
                <w:szCs w:val="21"/>
              </w:rPr>
              <w:t>13</w:t>
            </w:r>
          </w:p>
        </w:tc>
        <w:tc>
          <w:tcPr>
            <w:tcW w:w="1702" w:type="dxa"/>
            <w:vMerge w:val="restart"/>
          </w:tcPr>
          <w:p>
            <w:pPr>
              <w:spacing w:line="360" w:lineRule="atLeast"/>
              <w:rPr>
                <w:rFonts w:eastAsia="黑体"/>
                <w:kern w:val="0"/>
                <w:szCs w:val="21"/>
                <w:highlight w:val="yellow"/>
              </w:rPr>
            </w:pPr>
            <w:r>
              <w:rPr>
                <w:rFonts w:eastAsia="黑体"/>
                <w:kern w:val="0"/>
                <w:szCs w:val="21"/>
              </w:rPr>
              <w:t>固定液氢容器之间</w:t>
            </w:r>
          </w:p>
        </w:tc>
        <w:tc>
          <w:tcPr>
            <w:tcW w:w="1844" w:type="dxa"/>
          </w:tcPr>
          <w:p>
            <w:pPr>
              <w:spacing w:line="360" w:lineRule="atLeast"/>
              <w:rPr>
                <w:rFonts w:eastAsia="黑体"/>
                <w:kern w:val="0"/>
                <w:szCs w:val="21"/>
                <w:highlight w:val="yellow"/>
              </w:rPr>
            </w:pPr>
            <w:r>
              <w:rPr>
                <w:rFonts w:eastAsia="黑体"/>
                <w:kern w:val="0"/>
                <w:szCs w:val="21"/>
              </w:rPr>
              <w:t>卧式罐之间</w:t>
            </w:r>
          </w:p>
        </w:tc>
        <w:tc>
          <w:tcPr>
            <w:tcW w:w="5242" w:type="dxa"/>
            <w:gridSpan w:val="3"/>
          </w:tcPr>
          <w:p>
            <w:pPr>
              <w:spacing w:line="360" w:lineRule="atLeast"/>
              <w:jc w:val="center"/>
              <w:rPr>
                <w:rFonts w:eastAsia="黑体"/>
                <w:kern w:val="0"/>
                <w:szCs w:val="21"/>
              </w:rPr>
            </w:pPr>
            <w:r>
              <w:rPr>
                <w:rFonts w:eastAsia="黑体"/>
                <w:kern w:val="0"/>
                <w:szCs w:val="21"/>
              </w:rPr>
              <w:t>较大罐直径的2/3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Merge w:val="continue"/>
          </w:tcPr>
          <w:p>
            <w:pPr>
              <w:spacing w:line="360" w:lineRule="atLeast"/>
              <w:rPr>
                <w:rFonts w:eastAsia="黑体"/>
                <w:kern w:val="0"/>
                <w:szCs w:val="21"/>
                <w:highlight w:val="yellow"/>
              </w:rPr>
            </w:pPr>
          </w:p>
        </w:tc>
        <w:tc>
          <w:tcPr>
            <w:tcW w:w="1702" w:type="dxa"/>
            <w:vMerge w:val="continue"/>
          </w:tcPr>
          <w:p>
            <w:pPr>
              <w:spacing w:line="360" w:lineRule="atLeast"/>
              <w:rPr>
                <w:rFonts w:eastAsia="黑体"/>
                <w:kern w:val="0"/>
                <w:szCs w:val="21"/>
                <w:highlight w:val="yellow"/>
              </w:rPr>
            </w:pPr>
          </w:p>
        </w:tc>
        <w:tc>
          <w:tcPr>
            <w:tcW w:w="1844" w:type="dxa"/>
          </w:tcPr>
          <w:p>
            <w:pPr>
              <w:spacing w:line="360" w:lineRule="atLeast"/>
              <w:rPr>
                <w:rFonts w:eastAsia="黑体"/>
                <w:kern w:val="0"/>
                <w:szCs w:val="21"/>
                <w:highlight w:val="yellow"/>
              </w:rPr>
            </w:pPr>
            <w:r>
              <w:rPr>
                <w:rFonts w:eastAsia="黑体"/>
                <w:kern w:val="0"/>
                <w:szCs w:val="21"/>
              </w:rPr>
              <w:t>立式罐、球罐之间</w:t>
            </w:r>
          </w:p>
        </w:tc>
        <w:tc>
          <w:tcPr>
            <w:tcW w:w="5242" w:type="dxa"/>
            <w:gridSpan w:val="3"/>
          </w:tcPr>
          <w:p>
            <w:pPr>
              <w:spacing w:line="360" w:lineRule="atLeast"/>
              <w:jc w:val="center"/>
              <w:rPr>
                <w:rFonts w:eastAsia="黑体"/>
                <w:kern w:val="0"/>
                <w:szCs w:val="21"/>
              </w:rPr>
            </w:pPr>
            <w:r>
              <w:rPr>
                <w:rFonts w:eastAsia="黑体"/>
                <w:kern w:val="0"/>
                <w:szCs w:val="21"/>
              </w:rPr>
              <w:t>较大罐的直径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14</w:t>
            </w:r>
          </w:p>
        </w:tc>
        <w:tc>
          <w:tcPr>
            <w:tcW w:w="3546" w:type="dxa"/>
            <w:gridSpan w:val="2"/>
          </w:tcPr>
          <w:p>
            <w:pPr>
              <w:spacing w:line="360" w:lineRule="atLeast"/>
              <w:rPr>
                <w:rFonts w:eastAsia="黑体"/>
                <w:kern w:val="0"/>
                <w:szCs w:val="21"/>
                <w:highlight w:val="yellow"/>
              </w:rPr>
            </w:pPr>
            <w:r>
              <w:rPr>
                <w:rFonts w:eastAsia="黑体"/>
                <w:kern w:val="0"/>
                <w:szCs w:val="21"/>
              </w:rPr>
              <w:t>氢以外的可燃气体储存系统（地面或地下）</w:t>
            </w:r>
          </w:p>
        </w:tc>
        <w:tc>
          <w:tcPr>
            <w:tcW w:w="1614" w:type="dxa"/>
          </w:tcPr>
          <w:p>
            <w:pPr>
              <w:spacing w:line="360" w:lineRule="atLeast"/>
              <w:jc w:val="center"/>
              <w:rPr>
                <w:rFonts w:eastAsia="黑体"/>
                <w:kern w:val="0"/>
                <w:szCs w:val="21"/>
                <w:highlight w:val="yellow"/>
              </w:rPr>
            </w:pPr>
            <w:r>
              <w:rPr>
                <w:rFonts w:eastAsia="黑体"/>
                <w:kern w:val="0"/>
                <w:szCs w:val="21"/>
              </w:rPr>
              <w:t>15</w:t>
            </w:r>
          </w:p>
        </w:tc>
        <w:tc>
          <w:tcPr>
            <w:tcW w:w="1662" w:type="dxa"/>
          </w:tcPr>
          <w:p>
            <w:pPr>
              <w:spacing w:line="360" w:lineRule="atLeast"/>
              <w:jc w:val="center"/>
              <w:rPr>
                <w:rFonts w:eastAsia="黑体"/>
                <w:kern w:val="0"/>
                <w:szCs w:val="21"/>
                <w:highlight w:val="yellow"/>
              </w:rPr>
            </w:pPr>
            <w:r>
              <w:rPr>
                <w:rFonts w:eastAsia="黑体"/>
                <w:kern w:val="0"/>
                <w:szCs w:val="21"/>
              </w:rPr>
              <w:t>23</w:t>
            </w:r>
          </w:p>
        </w:tc>
        <w:tc>
          <w:tcPr>
            <w:tcW w:w="1966" w:type="dxa"/>
          </w:tcPr>
          <w:p>
            <w:pPr>
              <w:spacing w:line="360" w:lineRule="atLeast"/>
              <w:jc w:val="center"/>
              <w:rPr>
                <w:rFonts w:eastAsia="黑体"/>
                <w:kern w:val="0"/>
                <w:szCs w:val="21"/>
              </w:rPr>
            </w:pPr>
            <w:r>
              <w:rPr>
                <w:rFonts w:eastAsia="黑体"/>
                <w:kern w:val="0"/>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15</w:t>
            </w:r>
          </w:p>
        </w:tc>
        <w:tc>
          <w:tcPr>
            <w:tcW w:w="3546" w:type="dxa"/>
            <w:gridSpan w:val="2"/>
          </w:tcPr>
          <w:p>
            <w:pPr>
              <w:spacing w:line="360" w:lineRule="atLeast"/>
              <w:rPr>
                <w:rFonts w:eastAsia="黑体"/>
                <w:kern w:val="0"/>
                <w:szCs w:val="21"/>
                <w:highlight w:val="yellow"/>
              </w:rPr>
            </w:pPr>
            <w:r>
              <w:rPr>
                <w:rFonts w:eastAsia="黑体"/>
                <w:kern w:val="0"/>
                <w:szCs w:val="21"/>
              </w:rPr>
              <w:t>各类可燃液体 （地面或地下的排气孔或填充孔）</w:t>
            </w:r>
          </w:p>
        </w:tc>
        <w:tc>
          <w:tcPr>
            <w:tcW w:w="1614" w:type="dxa"/>
          </w:tcPr>
          <w:p>
            <w:pPr>
              <w:spacing w:line="360" w:lineRule="atLeast"/>
              <w:jc w:val="center"/>
              <w:rPr>
                <w:rFonts w:eastAsia="黑体"/>
                <w:kern w:val="0"/>
                <w:szCs w:val="21"/>
                <w:highlight w:val="yellow"/>
              </w:rPr>
            </w:pPr>
            <w:r>
              <w:rPr>
                <w:rFonts w:eastAsia="黑体"/>
                <w:kern w:val="0"/>
                <w:szCs w:val="21"/>
              </w:rPr>
              <w:t>15</w:t>
            </w:r>
          </w:p>
        </w:tc>
        <w:tc>
          <w:tcPr>
            <w:tcW w:w="1662" w:type="dxa"/>
          </w:tcPr>
          <w:p>
            <w:pPr>
              <w:spacing w:line="360" w:lineRule="atLeast"/>
              <w:jc w:val="center"/>
              <w:rPr>
                <w:rFonts w:eastAsia="黑体"/>
                <w:kern w:val="0"/>
                <w:szCs w:val="21"/>
                <w:highlight w:val="yellow"/>
              </w:rPr>
            </w:pPr>
            <w:r>
              <w:rPr>
                <w:rFonts w:eastAsia="黑体"/>
                <w:kern w:val="0"/>
                <w:szCs w:val="21"/>
              </w:rPr>
              <w:t>23</w:t>
            </w:r>
          </w:p>
        </w:tc>
        <w:tc>
          <w:tcPr>
            <w:tcW w:w="1966" w:type="dxa"/>
          </w:tcPr>
          <w:p>
            <w:pPr>
              <w:spacing w:line="360" w:lineRule="atLeast"/>
              <w:jc w:val="center"/>
              <w:rPr>
                <w:rFonts w:eastAsia="黑体"/>
                <w:kern w:val="0"/>
                <w:szCs w:val="21"/>
              </w:rPr>
            </w:pPr>
            <w:r>
              <w:rPr>
                <w:rFonts w:eastAsia="黑体"/>
                <w:kern w:val="0"/>
                <w:szCs w:val="21"/>
              </w:rPr>
              <w:t>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16</w:t>
            </w:r>
          </w:p>
        </w:tc>
        <w:tc>
          <w:tcPr>
            <w:tcW w:w="3546" w:type="dxa"/>
            <w:gridSpan w:val="2"/>
          </w:tcPr>
          <w:p>
            <w:pPr>
              <w:spacing w:line="360" w:lineRule="atLeast"/>
              <w:rPr>
                <w:rFonts w:eastAsia="黑体"/>
                <w:kern w:val="0"/>
                <w:szCs w:val="21"/>
                <w:highlight w:val="yellow"/>
              </w:rPr>
            </w:pPr>
            <w:r>
              <w:rPr>
                <w:rFonts w:eastAsia="黑体"/>
                <w:kern w:val="0"/>
                <w:szCs w:val="21"/>
              </w:rPr>
              <w:t>有害物质储存系统，包括液氧等氧化剂（地面或地下）</w:t>
            </w:r>
          </w:p>
        </w:tc>
        <w:tc>
          <w:tcPr>
            <w:tcW w:w="1614" w:type="dxa"/>
          </w:tcPr>
          <w:p>
            <w:pPr>
              <w:spacing w:line="360" w:lineRule="atLeast"/>
              <w:jc w:val="center"/>
              <w:rPr>
                <w:rFonts w:eastAsia="黑体"/>
                <w:kern w:val="0"/>
                <w:szCs w:val="21"/>
                <w:highlight w:val="yellow"/>
              </w:rPr>
            </w:pPr>
            <w:r>
              <w:rPr>
                <w:rFonts w:eastAsia="黑体"/>
                <w:kern w:val="0"/>
                <w:szCs w:val="21"/>
              </w:rPr>
              <w:t>23</w:t>
            </w:r>
          </w:p>
        </w:tc>
        <w:tc>
          <w:tcPr>
            <w:tcW w:w="1662" w:type="dxa"/>
          </w:tcPr>
          <w:p>
            <w:pPr>
              <w:spacing w:line="360" w:lineRule="atLeast"/>
              <w:jc w:val="center"/>
              <w:rPr>
                <w:rFonts w:eastAsia="黑体"/>
                <w:kern w:val="0"/>
                <w:szCs w:val="21"/>
                <w:highlight w:val="yellow"/>
              </w:rPr>
            </w:pPr>
            <w:r>
              <w:rPr>
                <w:rFonts w:eastAsia="黑体"/>
                <w:kern w:val="0"/>
                <w:szCs w:val="21"/>
              </w:rPr>
              <w:t>23</w:t>
            </w:r>
          </w:p>
        </w:tc>
        <w:tc>
          <w:tcPr>
            <w:tcW w:w="1966" w:type="dxa"/>
          </w:tcPr>
          <w:p>
            <w:pPr>
              <w:spacing w:line="360" w:lineRule="atLeast"/>
              <w:jc w:val="center"/>
              <w:rPr>
                <w:rFonts w:eastAsia="黑体"/>
                <w:kern w:val="0"/>
                <w:szCs w:val="21"/>
              </w:rPr>
            </w:pPr>
            <w:r>
              <w:rPr>
                <w:rFonts w:eastAsia="黑体"/>
                <w:kern w:val="0"/>
                <w:szCs w:val="21"/>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17</w:t>
            </w:r>
          </w:p>
        </w:tc>
        <w:tc>
          <w:tcPr>
            <w:tcW w:w="3546" w:type="dxa"/>
            <w:gridSpan w:val="2"/>
          </w:tcPr>
          <w:p>
            <w:pPr>
              <w:spacing w:line="360" w:lineRule="atLeast"/>
              <w:rPr>
                <w:rFonts w:eastAsia="黑体"/>
                <w:kern w:val="0"/>
                <w:szCs w:val="21"/>
                <w:highlight w:val="yellow"/>
              </w:rPr>
            </w:pPr>
            <w:r>
              <w:rPr>
                <w:rFonts w:eastAsia="黑体"/>
                <w:kern w:val="0"/>
                <w:szCs w:val="21"/>
              </w:rPr>
              <w:t>重型木材、煤炭或其他缓慢燃烧的可燃固体</w:t>
            </w:r>
          </w:p>
        </w:tc>
        <w:tc>
          <w:tcPr>
            <w:tcW w:w="1614" w:type="dxa"/>
          </w:tcPr>
          <w:p>
            <w:pPr>
              <w:spacing w:line="360" w:lineRule="atLeast"/>
              <w:jc w:val="center"/>
              <w:rPr>
                <w:rFonts w:eastAsia="黑体"/>
                <w:kern w:val="0"/>
                <w:szCs w:val="21"/>
                <w:highlight w:val="yellow"/>
              </w:rPr>
            </w:pPr>
            <w:r>
              <w:rPr>
                <w:rFonts w:eastAsia="黑体"/>
                <w:kern w:val="0"/>
                <w:szCs w:val="21"/>
              </w:rPr>
              <w:t>15</w:t>
            </w:r>
          </w:p>
        </w:tc>
        <w:tc>
          <w:tcPr>
            <w:tcW w:w="1662" w:type="dxa"/>
          </w:tcPr>
          <w:p>
            <w:pPr>
              <w:spacing w:line="360" w:lineRule="atLeast"/>
              <w:jc w:val="center"/>
              <w:rPr>
                <w:rFonts w:eastAsia="黑体"/>
                <w:kern w:val="0"/>
                <w:szCs w:val="21"/>
                <w:highlight w:val="yellow"/>
              </w:rPr>
            </w:pPr>
            <w:r>
              <w:rPr>
                <w:rFonts w:eastAsia="黑体"/>
                <w:kern w:val="0"/>
                <w:szCs w:val="21"/>
              </w:rPr>
              <w:t>23</w:t>
            </w:r>
          </w:p>
        </w:tc>
        <w:tc>
          <w:tcPr>
            <w:tcW w:w="1966" w:type="dxa"/>
          </w:tcPr>
          <w:p>
            <w:pPr>
              <w:spacing w:line="360" w:lineRule="atLeast"/>
              <w:jc w:val="center"/>
              <w:rPr>
                <w:rFonts w:eastAsia="黑体"/>
                <w:kern w:val="0"/>
                <w:szCs w:val="21"/>
              </w:rPr>
            </w:pPr>
            <w:r>
              <w:rPr>
                <w:rFonts w:eastAsia="黑体"/>
                <w:kern w:val="0"/>
                <w:szCs w:val="21"/>
              </w:rPr>
              <w:t>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18</w:t>
            </w:r>
          </w:p>
        </w:tc>
        <w:tc>
          <w:tcPr>
            <w:tcW w:w="3546" w:type="dxa"/>
            <w:gridSpan w:val="2"/>
          </w:tcPr>
          <w:p>
            <w:pPr>
              <w:spacing w:line="360" w:lineRule="atLeast"/>
              <w:rPr>
                <w:rFonts w:eastAsia="黑体"/>
                <w:kern w:val="0"/>
                <w:szCs w:val="21"/>
                <w:highlight w:val="yellow"/>
              </w:rPr>
            </w:pPr>
            <w:r>
              <w:rPr>
                <w:rFonts w:eastAsia="黑体"/>
                <w:kern w:val="0"/>
                <w:szCs w:val="21"/>
              </w:rPr>
              <w:t>地下水道</w:t>
            </w:r>
          </w:p>
        </w:tc>
        <w:tc>
          <w:tcPr>
            <w:tcW w:w="1614" w:type="dxa"/>
          </w:tcPr>
          <w:p>
            <w:pPr>
              <w:spacing w:line="360" w:lineRule="atLeast"/>
              <w:jc w:val="center"/>
              <w:rPr>
                <w:rFonts w:eastAsia="黑体"/>
                <w:kern w:val="0"/>
                <w:szCs w:val="21"/>
                <w:highlight w:val="yellow"/>
              </w:rPr>
            </w:pPr>
            <w:r>
              <w:rPr>
                <w:rFonts w:eastAsia="黑体"/>
                <w:kern w:val="0"/>
                <w:szCs w:val="21"/>
              </w:rPr>
              <w:t>1.5</w:t>
            </w:r>
          </w:p>
        </w:tc>
        <w:tc>
          <w:tcPr>
            <w:tcW w:w="1662" w:type="dxa"/>
          </w:tcPr>
          <w:p>
            <w:pPr>
              <w:spacing w:line="360" w:lineRule="atLeast"/>
              <w:jc w:val="center"/>
              <w:rPr>
                <w:rFonts w:eastAsia="黑体"/>
                <w:kern w:val="0"/>
                <w:szCs w:val="21"/>
                <w:highlight w:val="yellow"/>
              </w:rPr>
            </w:pPr>
            <w:r>
              <w:rPr>
                <w:rFonts w:eastAsia="黑体"/>
                <w:kern w:val="0"/>
                <w:szCs w:val="21"/>
              </w:rPr>
              <w:t>1.5</w:t>
            </w:r>
          </w:p>
        </w:tc>
        <w:tc>
          <w:tcPr>
            <w:tcW w:w="1966" w:type="dxa"/>
          </w:tcPr>
          <w:p>
            <w:pPr>
              <w:spacing w:line="360" w:lineRule="atLeast"/>
              <w:jc w:val="center"/>
              <w:rPr>
                <w:rFonts w:eastAsia="黑体"/>
                <w:kern w:val="0"/>
                <w:szCs w:val="21"/>
              </w:rPr>
            </w:pPr>
            <w:r>
              <w:rPr>
                <w:rFonts w:eastAsia="黑体"/>
                <w:kern w:val="0"/>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5" w:type="dxa"/>
            <w:vAlign w:val="center"/>
          </w:tcPr>
          <w:p>
            <w:pPr>
              <w:spacing w:line="360" w:lineRule="atLeast"/>
              <w:jc w:val="center"/>
              <w:rPr>
                <w:rFonts w:eastAsia="黑体"/>
                <w:kern w:val="0"/>
                <w:szCs w:val="21"/>
                <w:highlight w:val="yellow"/>
              </w:rPr>
            </w:pPr>
            <w:r>
              <w:rPr>
                <w:rFonts w:hint="eastAsia" w:eastAsia="黑体"/>
                <w:kern w:val="0"/>
                <w:szCs w:val="21"/>
              </w:rPr>
              <w:t>19</w:t>
            </w:r>
          </w:p>
        </w:tc>
        <w:tc>
          <w:tcPr>
            <w:tcW w:w="3546" w:type="dxa"/>
            <w:gridSpan w:val="2"/>
          </w:tcPr>
          <w:p>
            <w:pPr>
              <w:spacing w:line="360" w:lineRule="atLeast"/>
              <w:rPr>
                <w:rFonts w:eastAsia="黑体"/>
                <w:kern w:val="0"/>
                <w:szCs w:val="21"/>
                <w:highlight w:val="yellow"/>
              </w:rPr>
            </w:pPr>
            <w:r>
              <w:rPr>
                <w:rFonts w:eastAsia="黑体"/>
                <w:kern w:val="0"/>
                <w:szCs w:val="21"/>
              </w:rPr>
              <w:t xml:space="preserve">可燃气体计量站和调节站 </w:t>
            </w:r>
          </w:p>
        </w:tc>
        <w:tc>
          <w:tcPr>
            <w:tcW w:w="1614" w:type="dxa"/>
            <w:vAlign w:val="center"/>
          </w:tcPr>
          <w:p>
            <w:pPr>
              <w:spacing w:line="360" w:lineRule="atLeast"/>
              <w:jc w:val="center"/>
              <w:rPr>
                <w:rFonts w:eastAsia="黑体"/>
                <w:kern w:val="0"/>
                <w:szCs w:val="21"/>
                <w:highlight w:val="yellow"/>
              </w:rPr>
            </w:pPr>
            <w:r>
              <w:rPr>
                <w:rFonts w:eastAsia="黑体"/>
                <w:kern w:val="0"/>
                <w:szCs w:val="21"/>
              </w:rPr>
              <w:t>4.6</w:t>
            </w:r>
          </w:p>
        </w:tc>
        <w:tc>
          <w:tcPr>
            <w:tcW w:w="1662" w:type="dxa"/>
            <w:vAlign w:val="center"/>
          </w:tcPr>
          <w:p>
            <w:pPr>
              <w:spacing w:line="360" w:lineRule="atLeast"/>
              <w:jc w:val="center"/>
              <w:rPr>
                <w:rFonts w:eastAsia="黑体"/>
                <w:kern w:val="0"/>
                <w:szCs w:val="21"/>
                <w:highlight w:val="yellow"/>
              </w:rPr>
            </w:pPr>
            <w:r>
              <w:rPr>
                <w:rFonts w:eastAsia="黑体"/>
                <w:kern w:val="0"/>
                <w:szCs w:val="21"/>
              </w:rPr>
              <w:t>4.6</w:t>
            </w:r>
          </w:p>
        </w:tc>
        <w:tc>
          <w:tcPr>
            <w:tcW w:w="1966" w:type="dxa"/>
            <w:vAlign w:val="center"/>
          </w:tcPr>
          <w:p>
            <w:pPr>
              <w:spacing w:line="360" w:lineRule="atLeast"/>
              <w:jc w:val="center"/>
              <w:rPr>
                <w:rFonts w:eastAsia="黑体"/>
                <w:kern w:val="0"/>
                <w:szCs w:val="21"/>
              </w:rPr>
            </w:pPr>
            <w:r>
              <w:rPr>
                <w:rFonts w:eastAsia="黑体"/>
                <w:kern w:val="0"/>
                <w:szCs w:val="21"/>
              </w:rPr>
              <w:t>4.6</w:t>
            </w:r>
          </w:p>
        </w:tc>
      </w:tr>
    </w:tbl>
    <w:p>
      <w:pPr>
        <w:pStyle w:val="8"/>
        <w:spacing w:line="280" w:lineRule="atLeast"/>
        <w:ind w:firstLine="360"/>
        <w:rPr>
          <w:rFonts w:eastAsia="黑体"/>
          <w:sz w:val="18"/>
        </w:rPr>
      </w:pPr>
      <w:r>
        <w:rPr>
          <w:rFonts w:eastAsia="黑体"/>
          <w:sz w:val="18"/>
        </w:rPr>
        <w:t>注：当液氢</w:t>
      </w:r>
      <w:r>
        <w:rPr>
          <w:rFonts w:hint="eastAsia" w:eastAsia="黑体"/>
          <w:sz w:val="18"/>
        </w:rPr>
        <w:t>容器</w:t>
      </w:r>
      <w:r>
        <w:rPr>
          <w:rFonts w:eastAsia="黑体"/>
          <w:sz w:val="18"/>
        </w:rPr>
        <w:t>与建筑物之间设有</w:t>
      </w:r>
      <w:r>
        <w:rPr>
          <w:rFonts w:hint="eastAsia" w:eastAsia="黑体"/>
          <w:sz w:val="18"/>
        </w:rPr>
        <w:t>防火墙</w:t>
      </w:r>
      <w:r>
        <w:rPr>
          <w:rFonts w:eastAsia="黑体"/>
          <w:sz w:val="18"/>
        </w:rPr>
        <w:t>时，14</w:t>
      </w:r>
      <w:r>
        <w:rPr>
          <w:rFonts w:hint="eastAsia" w:eastAsia="黑体"/>
          <w:sz w:val="18"/>
        </w:rPr>
        <w:t>、</w:t>
      </w:r>
      <w:r>
        <w:rPr>
          <w:rFonts w:eastAsia="黑体"/>
          <w:sz w:val="18"/>
        </w:rPr>
        <w:t>15</w:t>
      </w:r>
      <w:r>
        <w:rPr>
          <w:rFonts w:hint="eastAsia" w:eastAsia="黑体"/>
          <w:sz w:val="18"/>
        </w:rPr>
        <w:t>、</w:t>
      </w:r>
      <w:r>
        <w:rPr>
          <w:rFonts w:eastAsia="黑体"/>
          <w:sz w:val="18"/>
        </w:rPr>
        <w:t>16项的安全距离可适当减小，但不得小于10m，且防火墙的耐火极限不应低于3.0 h。</w:t>
      </w:r>
    </w:p>
    <w:p>
      <w:pPr>
        <w:pStyle w:val="8"/>
        <w:ind w:firstLine="0" w:firstLineChars="0"/>
        <w:rPr>
          <w:rFonts w:ascii="宋体" w:hAnsi="宋体"/>
          <w:sz w:val="24"/>
        </w:rPr>
      </w:pPr>
      <w:r>
        <w:rPr>
          <w:sz w:val="24"/>
        </w:rPr>
        <w:t>3.0.</w:t>
      </w:r>
      <w:r>
        <w:rPr>
          <w:rFonts w:hint="eastAsia"/>
          <w:sz w:val="24"/>
        </w:rPr>
        <w:t>3</w:t>
      </w:r>
      <w:r>
        <w:rPr>
          <w:rFonts w:ascii="宋体" w:hAnsi="宋体"/>
          <w:sz w:val="24"/>
        </w:rPr>
        <w:t xml:space="preserve">  氢气储存压力容器之间的防火间距，应符合下列规定：</w:t>
      </w:r>
    </w:p>
    <w:p>
      <w:pPr>
        <w:pStyle w:val="8"/>
        <w:ind w:firstLine="480"/>
        <w:rPr>
          <w:rFonts w:ascii="宋体" w:hAnsi="宋体"/>
          <w:sz w:val="24"/>
        </w:rPr>
      </w:pPr>
      <w:r>
        <w:rPr>
          <w:rFonts w:ascii="宋体" w:hAnsi="宋体"/>
          <w:sz w:val="24"/>
        </w:rPr>
        <w:t>1湿式氢气储存压力容器之间的防火间距，不应小于相邻较大罐（罐径较大者，下同）的半径；</w:t>
      </w:r>
    </w:p>
    <w:p>
      <w:pPr>
        <w:pStyle w:val="8"/>
        <w:ind w:firstLine="480"/>
        <w:rPr>
          <w:rFonts w:ascii="宋体" w:hAnsi="宋体"/>
          <w:sz w:val="24"/>
        </w:rPr>
      </w:pPr>
      <w:r>
        <w:rPr>
          <w:rFonts w:ascii="宋体" w:hAnsi="宋体"/>
          <w:sz w:val="24"/>
        </w:rPr>
        <w:t>2卧式氢气储存压力容器之间的防火间距，不应小于相邻较大罐直径的2/3；立式罐之间、球形罐之间的防火间距，不应小于相邻较大罐的直径；</w:t>
      </w:r>
    </w:p>
    <w:p>
      <w:pPr>
        <w:pStyle w:val="8"/>
        <w:ind w:firstLine="480"/>
        <w:jc w:val="left"/>
        <w:rPr>
          <w:rFonts w:ascii="宋体" w:hAnsi="宋体"/>
          <w:sz w:val="24"/>
        </w:rPr>
      </w:pPr>
      <w:r>
        <w:rPr>
          <w:rFonts w:ascii="宋体" w:hAnsi="宋体"/>
          <w:sz w:val="24"/>
        </w:rPr>
        <w:t>3卧式、立式、球形氢气储存压力容器与湿式氢气储存压力容器之间的防火间距，应按其中较大者确定</w:t>
      </w:r>
      <w:r>
        <w:rPr>
          <w:rFonts w:hint="eastAsia" w:ascii="宋体" w:hAnsi="宋体"/>
          <w:sz w:val="24"/>
        </w:rPr>
        <w:t>。</w:t>
      </w:r>
    </w:p>
    <w:p>
      <w:pPr>
        <w:pStyle w:val="8"/>
        <w:ind w:firstLine="0" w:firstLineChars="0"/>
        <w:jc w:val="left"/>
        <w:rPr>
          <w:rFonts w:eastAsia="黑体"/>
          <w:sz w:val="24"/>
        </w:rPr>
      </w:pPr>
      <w:r>
        <w:rPr>
          <w:sz w:val="24"/>
        </w:rPr>
        <w:t>3.0.</w:t>
      </w:r>
      <w:r>
        <w:rPr>
          <w:rFonts w:hint="eastAsia"/>
          <w:sz w:val="24"/>
        </w:rPr>
        <w:t>4</w:t>
      </w:r>
      <w:r>
        <w:rPr>
          <w:rFonts w:ascii="宋体" w:hAnsi="宋体"/>
          <w:sz w:val="24"/>
        </w:rPr>
        <w:t xml:space="preserve">  采用天然气转化制氢系统等的氢气站</w:t>
      </w:r>
      <w:r>
        <w:rPr>
          <w:rFonts w:hint="eastAsia" w:ascii="宋体" w:hAnsi="宋体"/>
          <w:sz w:val="24"/>
        </w:rPr>
        <w:t>，</w:t>
      </w:r>
      <w:r>
        <w:rPr>
          <w:rFonts w:ascii="宋体" w:hAnsi="宋体"/>
          <w:sz w:val="24"/>
        </w:rPr>
        <w:t>应按选择的氢气生产流程进行总平面布置</w:t>
      </w:r>
      <w:r>
        <w:rPr>
          <w:rFonts w:hint="eastAsia" w:ascii="宋体" w:hAnsi="宋体"/>
          <w:sz w:val="24"/>
        </w:rPr>
        <w:t>，</w:t>
      </w:r>
      <w:r>
        <w:rPr>
          <w:rFonts w:ascii="宋体" w:hAnsi="宋体"/>
          <w:sz w:val="24"/>
        </w:rPr>
        <w:t>依据预处理装置</w:t>
      </w:r>
      <w:r>
        <w:rPr>
          <w:rFonts w:hint="eastAsia" w:ascii="宋体" w:hAnsi="宋体"/>
          <w:sz w:val="24"/>
        </w:rPr>
        <w:t>、</w:t>
      </w:r>
      <w:r>
        <w:rPr>
          <w:rFonts w:ascii="宋体" w:hAnsi="宋体"/>
          <w:sz w:val="24"/>
        </w:rPr>
        <w:t>转化炉</w:t>
      </w:r>
      <w:r>
        <w:rPr>
          <w:rFonts w:hint="eastAsia" w:ascii="宋体" w:hAnsi="宋体"/>
          <w:sz w:val="24"/>
        </w:rPr>
        <w:t>、</w:t>
      </w:r>
      <w:r>
        <w:rPr>
          <w:rFonts w:ascii="宋体" w:hAnsi="宋体"/>
          <w:sz w:val="24"/>
        </w:rPr>
        <w:t>变换装置</w:t>
      </w:r>
      <w:r>
        <w:rPr>
          <w:rFonts w:hint="eastAsia" w:ascii="宋体" w:hAnsi="宋体"/>
          <w:sz w:val="24"/>
        </w:rPr>
        <w:t>和变化吸附提纯氢系统等的配置状况，宜按功能需要，合理进行分区布置，并应符合本标准第6章的有关规定。</w:t>
      </w:r>
    </w:p>
    <w:p>
      <w:pPr>
        <w:pStyle w:val="8"/>
        <w:ind w:firstLine="0" w:firstLineChars="0"/>
        <w:rPr>
          <w:kern w:val="0"/>
          <w:sz w:val="24"/>
          <w:szCs w:val="21"/>
        </w:rPr>
      </w:pPr>
      <w:r>
        <w:rPr>
          <w:rFonts w:eastAsia="黑体"/>
          <w:sz w:val="24"/>
        </w:rPr>
        <w:t>3.0.</w:t>
      </w:r>
      <w:r>
        <w:rPr>
          <w:rFonts w:hint="eastAsia" w:eastAsia="黑体"/>
          <w:sz w:val="24"/>
        </w:rPr>
        <w:t>5</w:t>
      </w:r>
      <w:r>
        <w:rPr>
          <w:sz w:val="24"/>
        </w:rPr>
        <w:t xml:space="preserve">  </w:t>
      </w:r>
      <w:r>
        <w:rPr>
          <w:rFonts w:hint="eastAsia"/>
          <w:sz w:val="24"/>
        </w:rPr>
        <w:t>水电解</w:t>
      </w:r>
      <w:r>
        <w:rPr>
          <w:sz w:val="24"/>
        </w:rPr>
        <w:t>制氢的</w:t>
      </w:r>
      <w:r>
        <w:rPr>
          <w:kern w:val="0"/>
          <w:sz w:val="24"/>
          <w:szCs w:val="21"/>
        </w:rPr>
        <w:t>氢气站</w:t>
      </w:r>
      <w:r>
        <w:rPr>
          <w:rFonts w:hint="eastAsia"/>
          <w:kern w:val="0"/>
          <w:sz w:val="24"/>
          <w:szCs w:val="21"/>
        </w:rPr>
        <w:t>，应根据</w:t>
      </w:r>
      <w:r>
        <w:rPr>
          <w:kern w:val="0"/>
          <w:sz w:val="24"/>
          <w:szCs w:val="21"/>
        </w:rPr>
        <w:t>制氢</w:t>
      </w:r>
      <w:r>
        <w:rPr>
          <w:rFonts w:hint="eastAsia"/>
          <w:kern w:val="0"/>
          <w:sz w:val="24"/>
          <w:szCs w:val="21"/>
        </w:rPr>
        <w:t>（含直流电源、原料水制备等）</w:t>
      </w:r>
      <w:r>
        <w:rPr>
          <w:kern w:val="0"/>
          <w:sz w:val="24"/>
          <w:szCs w:val="21"/>
        </w:rPr>
        <w:t>、纯化、压缩、灌充和氧回收等</w:t>
      </w:r>
      <w:r>
        <w:rPr>
          <w:rFonts w:hint="eastAsia"/>
          <w:kern w:val="0"/>
          <w:sz w:val="24"/>
          <w:szCs w:val="21"/>
        </w:rPr>
        <w:t>工艺</w:t>
      </w:r>
      <w:r>
        <w:rPr>
          <w:kern w:val="0"/>
          <w:sz w:val="24"/>
          <w:szCs w:val="21"/>
        </w:rPr>
        <w:t>设备的配置状况，宜按其功能集中布置在独立的建筑物内</w:t>
      </w:r>
      <w:r>
        <w:rPr>
          <w:rFonts w:hint="eastAsia"/>
          <w:kern w:val="0"/>
          <w:sz w:val="24"/>
          <w:szCs w:val="21"/>
        </w:rPr>
        <w:t>，根据制氢规模、具体环境条件工艺设备也可分别设置在不同的建筑物内</w:t>
      </w:r>
      <w:r>
        <w:rPr>
          <w:kern w:val="0"/>
          <w:sz w:val="24"/>
          <w:szCs w:val="21"/>
        </w:rPr>
        <w:t>。</w:t>
      </w:r>
    </w:p>
    <w:p>
      <w:pPr>
        <w:pStyle w:val="8"/>
        <w:ind w:firstLine="0" w:firstLineChars="0"/>
        <w:rPr>
          <w:sz w:val="24"/>
        </w:rPr>
      </w:pPr>
      <w:r>
        <w:rPr>
          <w:rFonts w:eastAsia="黑体"/>
          <w:sz w:val="24"/>
        </w:rPr>
        <w:t>3.0.</w:t>
      </w:r>
      <w:r>
        <w:rPr>
          <w:rFonts w:hint="eastAsia" w:eastAsia="黑体"/>
          <w:sz w:val="24"/>
        </w:rPr>
        <w:t>6</w:t>
      </w:r>
      <w:r>
        <w:rPr>
          <w:sz w:val="24"/>
        </w:rPr>
        <w:t xml:space="preserve">  氢气站与其他车间呈L形、∏形或Ш形贴邻布置时，应符合下列规定：</w:t>
      </w:r>
    </w:p>
    <w:p>
      <w:pPr>
        <w:pStyle w:val="8"/>
        <w:ind w:firstLine="484" w:firstLineChars="202"/>
        <w:rPr>
          <w:sz w:val="20"/>
        </w:rPr>
      </w:pPr>
      <w:r>
        <w:rPr>
          <w:sz w:val="24"/>
        </w:rPr>
        <w:t>1 宜布置在厂房的端部，与之相连的建筑物耐火等级不应低于二级；</w:t>
      </w:r>
    </w:p>
    <w:p>
      <w:pPr>
        <w:pStyle w:val="8"/>
        <w:ind w:left="560" w:firstLine="0" w:firstLineChars="0"/>
        <w:rPr>
          <w:sz w:val="20"/>
        </w:rPr>
      </w:pPr>
      <w:r>
        <w:rPr>
          <w:sz w:val="24"/>
        </w:rPr>
        <w:t>2 不得同热处理、锻压、焊接等有明火作业的车间相连；</w:t>
      </w:r>
    </w:p>
    <w:p>
      <w:pPr>
        <w:pStyle w:val="8"/>
        <w:ind w:firstLine="480"/>
        <w:rPr>
          <w:sz w:val="24"/>
        </w:rPr>
      </w:pPr>
      <w:r>
        <w:rPr>
          <w:sz w:val="24"/>
        </w:rPr>
        <w:t>3 贴邻的墙应为无门、窗、洞的防火墙。</w:t>
      </w:r>
    </w:p>
    <w:p>
      <w:pPr>
        <w:pStyle w:val="8"/>
        <w:ind w:firstLine="0" w:firstLineChars="0"/>
        <w:rPr>
          <w:sz w:val="24"/>
        </w:rPr>
      </w:pPr>
      <w:r>
        <w:rPr>
          <w:rFonts w:eastAsia="黑体"/>
          <w:sz w:val="24"/>
        </w:rPr>
        <w:t>3.0.</w:t>
      </w:r>
      <w:r>
        <w:rPr>
          <w:rFonts w:hint="eastAsia" w:eastAsia="黑体"/>
          <w:sz w:val="24"/>
        </w:rPr>
        <w:t>7</w:t>
      </w:r>
      <w:r>
        <w:rPr>
          <w:sz w:val="24"/>
        </w:rPr>
        <w:t xml:space="preserve">  氢气储存压力容器应布置在通风良好的场所，不应设在厂房内。在寒冷地区，湿式氢气储存压力容器和固定容积含湿氢气储存压力容器底部，应采取防冻措施。</w:t>
      </w:r>
    </w:p>
    <w:p>
      <w:pPr>
        <w:pStyle w:val="8"/>
        <w:ind w:firstLine="484" w:firstLineChars="202"/>
        <w:rPr>
          <w:sz w:val="24"/>
        </w:rPr>
      </w:pPr>
      <w:r>
        <w:rPr>
          <w:rFonts w:hint="eastAsia"/>
          <w:sz w:val="24"/>
        </w:rPr>
        <w:t>高压氢气储存压力容器区域内的各压力容器氢气进出管道处宜设实体墙和防撞设施。</w:t>
      </w:r>
    </w:p>
    <w:p>
      <w:pPr>
        <w:pStyle w:val="8"/>
        <w:ind w:firstLine="0" w:firstLineChars="0"/>
        <w:rPr>
          <w:sz w:val="24"/>
        </w:rPr>
      </w:pPr>
      <w:r>
        <w:rPr>
          <w:rFonts w:eastAsia="黑体"/>
          <w:sz w:val="24"/>
        </w:rPr>
        <w:t>3.0.</w:t>
      </w:r>
      <w:r>
        <w:rPr>
          <w:rFonts w:hint="eastAsia" w:eastAsia="黑体"/>
          <w:sz w:val="24"/>
        </w:rPr>
        <w:t>8</w:t>
      </w:r>
      <w:r>
        <w:rPr>
          <w:sz w:val="24"/>
        </w:rPr>
        <w:t xml:space="preserve">  液氢</w:t>
      </w:r>
      <w:r>
        <w:rPr>
          <w:rFonts w:hint="eastAsia"/>
          <w:sz w:val="24"/>
        </w:rPr>
        <w:t>容器</w:t>
      </w:r>
      <w:r>
        <w:rPr>
          <w:sz w:val="24"/>
        </w:rPr>
        <w:t>的布置，应符合下列要求：</w:t>
      </w:r>
    </w:p>
    <w:p>
      <w:pPr>
        <w:pStyle w:val="8"/>
        <w:ind w:firstLine="480"/>
        <w:rPr>
          <w:sz w:val="24"/>
        </w:rPr>
      </w:pPr>
      <w:r>
        <w:rPr>
          <w:rFonts w:eastAsia="黑体"/>
          <w:sz w:val="24"/>
        </w:rPr>
        <w:t>1</w:t>
      </w:r>
      <w:r>
        <w:rPr>
          <w:sz w:val="24"/>
        </w:rPr>
        <w:t>设置液氢</w:t>
      </w:r>
      <w:r>
        <w:rPr>
          <w:rFonts w:hint="eastAsia"/>
          <w:sz w:val="24"/>
        </w:rPr>
        <w:t>容器</w:t>
      </w:r>
      <w:r>
        <w:rPr>
          <w:sz w:val="24"/>
        </w:rPr>
        <w:t>的场所应通风良好，并不得安装在室内；</w:t>
      </w:r>
    </w:p>
    <w:p>
      <w:pPr>
        <w:pStyle w:val="8"/>
        <w:ind w:firstLine="480"/>
        <w:rPr>
          <w:sz w:val="24"/>
        </w:rPr>
      </w:pPr>
      <w:r>
        <w:rPr>
          <w:sz w:val="24"/>
        </w:rPr>
        <w:t>2液氢</w:t>
      </w:r>
      <w:r>
        <w:rPr>
          <w:rFonts w:hint="eastAsia"/>
          <w:sz w:val="24"/>
        </w:rPr>
        <w:t>容器</w:t>
      </w:r>
      <w:r>
        <w:rPr>
          <w:sz w:val="24"/>
        </w:rPr>
        <w:t>应设在稳固的基础上，基座高度宜高于周围地面0.3m；</w:t>
      </w:r>
    </w:p>
    <w:p>
      <w:pPr>
        <w:pStyle w:val="8"/>
        <w:ind w:firstLine="480"/>
        <w:rPr>
          <w:sz w:val="24"/>
        </w:rPr>
      </w:pPr>
      <w:r>
        <w:rPr>
          <w:sz w:val="24"/>
        </w:rPr>
        <w:t>3液氢</w:t>
      </w:r>
      <w:r>
        <w:rPr>
          <w:rFonts w:hint="eastAsia"/>
          <w:sz w:val="24"/>
        </w:rPr>
        <w:t>容器</w:t>
      </w:r>
      <w:r>
        <w:rPr>
          <w:sz w:val="24"/>
        </w:rPr>
        <w:t>区域宜设围墙或栅栏和防撞设施，并设有安全标识。</w:t>
      </w:r>
    </w:p>
    <w:p>
      <w:pPr>
        <w:pStyle w:val="8"/>
        <w:ind w:firstLine="0" w:firstLineChars="0"/>
        <w:rPr>
          <w:sz w:val="24"/>
        </w:rPr>
      </w:pPr>
      <w:r>
        <w:rPr>
          <w:rFonts w:eastAsia="黑体"/>
          <w:sz w:val="24"/>
        </w:rPr>
        <w:t>3.0.</w:t>
      </w:r>
      <w:r>
        <w:rPr>
          <w:rFonts w:hint="eastAsia" w:eastAsia="黑体"/>
          <w:sz w:val="24"/>
        </w:rPr>
        <w:t>9</w:t>
      </w:r>
      <w:r>
        <w:rPr>
          <w:rFonts w:eastAsia="黑体"/>
          <w:sz w:val="24"/>
        </w:rPr>
        <w:t xml:space="preserve"> </w:t>
      </w:r>
      <w:r>
        <w:rPr>
          <w:sz w:val="24"/>
        </w:rPr>
        <w:t xml:space="preserve"> 氢气站</w:t>
      </w:r>
      <w:r>
        <w:rPr>
          <w:rFonts w:hint="eastAsia"/>
          <w:sz w:val="24"/>
        </w:rPr>
        <w:t>、</w:t>
      </w:r>
      <w:r>
        <w:rPr>
          <w:sz w:val="24"/>
        </w:rPr>
        <w:t>供氢站内氢气长管拖车、氢气管束式集装箱</w:t>
      </w:r>
      <w:r>
        <w:rPr>
          <w:rFonts w:hint="eastAsia"/>
          <w:sz w:val="24"/>
        </w:rPr>
        <w:t>固定</w:t>
      </w:r>
      <w:r>
        <w:rPr>
          <w:sz w:val="24"/>
        </w:rPr>
        <w:t>车位的</w:t>
      </w:r>
      <w:r>
        <w:rPr>
          <w:rFonts w:hint="eastAsia"/>
          <w:sz w:val="24"/>
        </w:rPr>
        <w:t>装卸</w:t>
      </w:r>
      <w:r>
        <w:rPr>
          <w:sz w:val="24"/>
        </w:rPr>
        <w:t>管路端，应设耐火极限不低于4.0h的防火墙，防火墙高度不得低于氢气长管拖车的高度，长度不应小于0.5与1.5倍氢气长管拖车车</w:t>
      </w:r>
      <w:r>
        <w:rPr>
          <w:rFonts w:hint="eastAsia"/>
          <w:sz w:val="24"/>
        </w:rPr>
        <w:t>、氢气管束式集装箱</w:t>
      </w:r>
      <w:r>
        <w:rPr>
          <w:sz w:val="24"/>
        </w:rPr>
        <w:t>位数之和与单个</w:t>
      </w:r>
      <w:r>
        <w:rPr>
          <w:rFonts w:hint="eastAsia"/>
          <w:sz w:val="24"/>
        </w:rPr>
        <w:t>车位</w:t>
      </w:r>
      <w:r>
        <w:rPr>
          <w:sz w:val="24"/>
        </w:rPr>
        <w:t>宽度的乘积。装卸管路端与防火墙的间距不应小于2.0m。</w:t>
      </w:r>
    </w:p>
    <w:p>
      <w:pPr>
        <w:pStyle w:val="8"/>
        <w:ind w:firstLine="0" w:firstLineChars="0"/>
        <w:rPr>
          <w:sz w:val="24"/>
        </w:rPr>
      </w:pPr>
      <w:r>
        <w:rPr>
          <w:rFonts w:eastAsia="黑体"/>
          <w:sz w:val="24"/>
        </w:rPr>
        <w:t>3.0.</w:t>
      </w:r>
      <w:r>
        <w:rPr>
          <w:rFonts w:hint="eastAsia" w:eastAsia="黑体"/>
          <w:sz w:val="24"/>
        </w:rPr>
        <w:t>10</w:t>
      </w:r>
      <w:r>
        <w:rPr>
          <w:sz w:val="24"/>
        </w:rPr>
        <w:t xml:space="preserve">  供氢站内氢气实瓶数不超过60瓶或占地面积不超过500m</w:t>
      </w:r>
      <w:r>
        <w:rPr>
          <w:sz w:val="24"/>
          <w:vertAlign w:val="superscript"/>
        </w:rPr>
        <w:t>2</w:t>
      </w:r>
      <w:r>
        <w:rPr>
          <w:sz w:val="24"/>
        </w:rPr>
        <w:t>时，可与耐火等级不低于二级的用氢车间或其它非明火作业的丁、戊类车间贴邻，其贴邻的墙应为无门、窗、洞的防</w:t>
      </w:r>
      <w:r>
        <w:rPr>
          <w:rFonts w:hint="eastAsia"/>
          <w:sz w:val="24"/>
        </w:rPr>
        <w:t>火</w:t>
      </w:r>
      <w:r>
        <w:rPr>
          <w:sz w:val="24"/>
        </w:rPr>
        <w:t>墙，并宜布置在靠厂房的外墙或端部。</w:t>
      </w:r>
    </w:p>
    <w:p>
      <w:pPr>
        <w:pStyle w:val="8"/>
        <w:ind w:firstLine="0" w:firstLineChars="0"/>
        <w:rPr>
          <w:sz w:val="24"/>
        </w:rPr>
      </w:pPr>
      <w:r>
        <w:rPr>
          <w:rFonts w:hint="eastAsia"/>
          <w:sz w:val="24"/>
        </w:rPr>
        <w:t>3.0.11  氢气站、供氢站区域内应设有满足生产、运行、消防等需要的道路，且应符合下列要求：</w:t>
      </w:r>
    </w:p>
    <w:p>
      <w:pPr>
        <w:pStyle w:val="8"/>
        <w:ind w:firstLine="480"/>
        <w:rPr>
          <w:sz w:val="24"/>
        </w:rPr>
      </w:pPr>
      <w:r>
        <w:rPr>
          <w:sz w:val="24"/>
        </w:rPr>
        <w:t>1 单车道宽度不应小于</w:t>
      </w:r>
      <w:r>
        <w:rPr>
          <w:rFonts w:hint="eastAsia"/>
          <w:sz w:val="24"/>
        </w:rPr>
        <w:t>3.5m，双车道宽度不应小于6.0m；</w:t>
      </w:r>
    </w:p>
    <w:p>
      <w:pPr>
        <w:pStyle w:val="8"/>
        <w:ind w:firstLine="480"/>
        <w:rPr>
          <w:sz w:val="24"/>
        </w:rPr>
      </w:pPr>
      <w:r>
        <w:rPr>
          <w:rFonts w:hint="eastAsia"/>
          <w:sz w:val="24"/>
        </w:rPr>
        <w:t>2 站区内单个甲类厂房占地面积大于3000m</w:t>
      </w:r>
      <w:r>
        <w:rPr>
          <w:sz w:val="24"/>
          <w:vertAlign w:val="superscript"/>
        </w:rPr>
        <w:t>2</w:t>
      </w:r>
      <w:r>
        <w:rPr>
          <w:sz w:val="24"/>
        </w:rPr>
        <w:t>时</w:t>
      </w:r>
      <w:r>
        <w:rPr>
          <w:rFonts w:hint="eastAsia"/>
          <w:sz w:val="24"/>
        </w:rPr>
        <w:t>，</w:t>
      </w:r>
      <w:r>
        <w:rPr>
          <w:sz w:val="24"/>
        </w:rPr>
        <w:t>应设置环形消防车道</w:t>
      </w:r>
      <w:r>
        <w:rPr>
          <w:rFonts w:hint="eastAsia"/>
          <w:sz w:val="24"/>
        </w:rPr>
        <w:t>，</w:t>
      </w:r>
      <w:r>
        <w:rPr>
          <w:sz w:val="24"/>
        </w:rPr>
        <w:t>确有困难时</w:t>
      </w:r>
      <w:r>
        <w:rPr>
          <w:rFonts w:hint="eastAsia"/>
          <w:sz w:val="24"/>
        </w:rPr>
        <w:t>，</w:t>
      </w:r>
      <w:r>
        <w:rPr>
          <w:sz w:val="24"/>
        </w:rPr>
        <w:t>应沿建筑物的两个长边设消防车道</w:t>
      </w:r>
      <w:r>
        <w:rPr>
          <w:rFonts w:hint="eastAsia"/>
          <w:sz w:val="24"/>
        </w:rPr>
        <w:t>；</w:t>
      </w:r>
    </w:p>
    <w:p>
      <w:pPr>
        <w:pStyle w:val="8"/>
        <w:ind w:firstLine="480"/>
        <w:rPr>
          <w:sz w:val="24"/>
        </w:rPr>
      </w:pPr>
      <w:r>
        <w:rPr>
          <w:rFonts w:hint="eastAsia"/>
          <w:sz w:val="24"/>
        </w:rPr>
        <w:t>3 氢气储罐总容量超过100000m</w:t>
      </w:r>
      <w:r>
        <w:rPr>
          <w:sz w:val="24"/>
          <w:vertAlign w:val="superscript"/>
        </w:rPr>
        <w:t>3</w:t>
      </w:r>
      <w:r>
        <w:rPr>
          <w:sz w:val="24"/>
        </w:rPr>
        <w:t>宜设环形车道</w:t>
      </w:r>
      <w:r>
        <w:rPr>
          <w:rFonts w:hint="eastAsia"/>
          <w:sz w:val="24"/>
        </w:rPr>
        <w:t>，</w:t>
      </w:r>
      <w:r>
        <w:rPr>
          <w:sz w:val="24"/>
        </w:rPr>
        <w:t>也可设置尽头式消防车道和面积不小于</w:t>
      </w:r>
      <w:r>
        <w:rPr>
          <w:rFonts w:hint="eastAsia"/>
          <w:sz w:val="24"/>
        </w:rPr>
        <w:t>1</w:t>
      </w:r>
      <w:r>
        <w:rPr>
          <w:sz w:val="24"/>
        </w:rPr>
        <w:t>8</w:t>
      </w:r>
      <w:r>
        <w:rPr>
          <w:rFonts w:hint="eastAsia"/>
          <w:sz w:val="24"/>
        </w:rPr>
        <w:t>m×1</w:t>
      </w:r>
      <w:r>
        <w:rPr>
          <w:sz w:val="24"/>
        </w:rPr>
        <w:t>8</w:t>
      </w:r>
      <w:r>
        <w:rPr>
          <w:rFonts w:hint="eastAsia"/>
          <w:sz w:val="24"/>
        </w:rPr>
        <w:t>m的回车场地；</w:t>
      </w:r>
    </w:p>
    <w:p>
      <w:pPr>
        <w:pStyle w:val="8"/>
        <w:ind w:firstLine="480"/>
        <w:rPr>
          <w:sz w:val="24"/>
        </w:rPr>
      </w:pPr>
      <w:r>
        <w:rPr>
          <w:rFonts w:hint="eastAsia"/>
          <w:sz w:val="24"/>
        </w:rPr>
        <w:t>4 消防车道宽度不应小于4.0m。</w:t>
      </w:r>
    </w:p>
    <w:p>
      <w:pPr>
        <w:pStyle w:val="8"/>
        <w:ind w:firstLine="0" w:firstLineChars="0"/>
      </w:pPr>
    </w:p>
    <w:p>
      <w:pPr>
        <w:spacing w:line="480" w:lineRule="atLeast"/>
        <w:jc w:val="center"/>
        <w:outlineLvl w:val="0"/>
        <w:rPr>
          <w:sz w:val="30"/>
        </w:rPr>
      </w:pPr>
      <w:r>
        <w:br w:type="page"/>
      </w:r>
      <w:bookmarkStart w:id="8" w:name="_Toc108940931"/>
      <w:r>
        <w:rPr>
          <w:sz w:val="30"/>
        </w:rPr>
        <w:t>4 工艺系统</w:t>
      </w:r>
      <w:bookmarkEnd w:id="8"/>
    </w:p>
    <w:p>
      <w:pPr>
        <w:pStyle w:val="8"/>
        <w:ind w:left="570" w:firstLine="0" w:firstLineChars="0"/>
      </w:pPr>
    </w:p>
    <w:p>
      <w:pPr>
        <w:pStyle w:val="26"/>
        <w:spacing w:line="480" w:lineRule="atLeast"/>
        <w:ind w:firstLine="0" w:firstLineChars="0"/>
        <w:rPr>
          <w:rFonts w:ascii="Times New Roman" w:hAnsi="Times New Roman"/>
          <w:sz w:val="24"/>
          <w:szCs w:val="24"/>
        </w:rPr>
      </w:pPr>
      <w:r>
        <w:rPr>
          <w:rFonts w:ascii="Times New Roman" w:hAnsi="Times New Roman" w:eastAsia="黑体"/>
          <w:sz w:val="24"/>
          <w:szCs w:val="24"/>
        </w:rPr>
        <w:t>4.0.1</w:t>
      </w:r>
      <w:r>
        <w:rPr>
          <w:rFonts w:ascii="Times New Roman" w:hAnsi="Times New Roman"/>
          <w:sz w:val="24"/>
          <w:szCs w:val="24"/>
        </w:rPr>
        <w:t xml:space="preserve">  氢气站</w:t>
      </w:r>
      <w:r>
        <w:rPr>
          <w:rFonts w:hint="eastAsia" w:ascii="Times New Roman" w:hAnsi="Times New Roman"/>
          <w:sz w:val="24"/>
          <w:szCs w:val="24"/>
        </w:rPr>
        <w:t>、供氢站</w:t>
      </w:r>
      <w:r>
        <w:rPr>
          <w:rFonts w:ascii="Times New Roman" w:hAnsi="Times New Roman"/>
          <w:sz w:val="24"/>
          <w:szCs w:val="24"/>
        </w:rPr>
        <w:t>的工艺系统应依据下列因素确定：</w:t>
      </w:r>
    </w:p>
    <w:p>
      <w:pPr>
        <w:pStyle w:val="26"/>
        <w:spacing w:line="480" w:lineRule="atLeast"/>
        <w:ind w:firstLine="561" w:firstLineChars="0"/>
        <w:rPr>
          <w:rFonts w:ascii="Times New Roman" w:hAnsi="Times New Roman"/>
          <w:sz w:val="24"/>
          <w:szCs w:val="24"/>
        </w:rPr>
      </w:pPr>
      <w:r>
        <w:rPr>
          <w:rFonts w:ascii="Times New Roman" w:hAnsi="Times New Roman"/>
          <w:sz w:val="24"/>
          <w:szCs w:val="24"/>
        </w:rPr>
        <w:t>1当地</w:t>
      </w:r>
      <w:r>
        <w:rPr>
          <w:rFonts w:hint="eastAsia" w:ascii="Times New Roman" w:hAnsi="Times New Roman"/>
          <w:sz w:val="24"/>
          <w:szCs w:val="24"/>
        </w:rPr>
        <w:t>氢相关的</w:t>
      </w:r>
      <w:r>
        <w:rPr>
          <w:rFonts w:ascii="Times New Roman" w:hAnsi="Times New Roman"/>
          <w:sz w:val="24"/>
          <w:szCs w:val="24"/>
        </w:rPr>
        <w:t>资源条件</w:t>
      </w:r>
      <w:r>
        <w:rPr>
          <w:rFonts w:hint="eastAsia" w:ascii="Times New Roman" w:hAnsi="Times New Roman"/>
          <w:sz w:val="24"/>
          <w:szCs w:val="24"/>
        </w:rPr>
        <w:t>、应用需求和交通运输状况与工艺系统功能的</w:t>
      </w:r>
      <w:r>
        <w:rPr>
          <w:rFonts w:ascii="Times New Roman" w:hAnsi="Times New Roman"/>
          <w:sz w:val="24"/>
          <w:szCs w:val="24"/>
        </w:rPr>
        <w:t>配置；</w:t>
      </w:r>
    </w:p>
    <w:p>
      <w:pPr>
        <w:pStyle w:val="26"/>
        <w:spacing w:line="480" w:lineRule="atLeast"/>
        <w:ind w:firstLine="561" w:firstLineChars="0"/>
        <w:rPr>
          <w:rFonts w:ascii="Times New Roman" w:hAnsi="Times New Roman"/>
          <w:sz w:val="24"/>
          <w:szCs w:val="24"/>
        </w:rPr>
      </w:pPr>
      <w:r>
        <w:rPr>
          <w:rFonts w:ascii="Times New Roman" w:hAnsi="Times New Roman"/>
          <w:sz w:val="24"/>
          <w:szCs w:val="24"/>
        </w:rPr>
        <w:t>2产品氢气的用途、</w:t>
      </w:r>
      <w:r>
        <w:rPr>
          <w:rFonts w:hint="eastAsia" w:ascii="Times New Roman" w:hAnsi="Times New Roman"/>
          <w:sz w:val="24"/>
          <w:szCs w:val="24"/>
        </w:rPr>
        <w:t>品质、</w:t>
      </w:r>
      <w:r>
        <w:rPr>
          <w:rFonts w:ascii="Times New Roman" w:hAnsi="Times New Roman"/>
          <w:sz w:val="24"/>
          <w:szCs w:val="24"/>
        </w:rPr>
        <w:t>技术参数和氢气供应量</w:t>
      </w:r>
      <w:r>
        <w:rPr>
          <w:rFonts w:hint="eastAsia" w:ascii="Times New Roman" w:hAnsi="Times New Roman"/>
          <w:sz w:val="24"/>
          <w:szCs w:val="24"/>
        </w:rPr>
        <w:t>及其变化情况、可靠性、连续性要求</w:t>
      </w:r>
      <w:r>
        <w:rPr>
          <w:rFonts w:ascii="Times New Roman" w:hAnsi="Times New Roman"/>
          <w:sz w:val="24"/>
          <w:szCs w:val="24"/>
        </w:rPr>
        <w:t>；</w:t>
      </w:r>
    </w:p>
    <w:p>
      <w:pPr>
        <w:pStyle w:val="26"/>
        <w:spacing w:line="480" w:lineRule="atLeast"/>
        <w:ind w:firstLine="561" w:firstLineChars="0"/>
        <w:rPr>
          <w:rFonts w:ascii="Times New Roman" w:hAnsi="Times New Roman"/>
          <w:sz w:val="24"/>
          <w:szCs w:val="24"/>
        </w:rPr>
      </w:pPr>
      <w:r>
        <w:rPr>
          <w:rFonts w:ascii="Times New Roman" w:hAnsi="Times New Roman"/>
          <w:sz w:val="24"/>
          <w:szCs w:val="24"/>
        </w:rPr>
        <w:t>3氢气储存、充装</w:t>
      </w:r>
      <w:r>
        <w:rPr>
          <w:rFonts w:hint="eastAsia" w:ascii="Times New Roman" w:hAnsi="Times New Roman"/>
          <w:sz w:val="24"/>
          <w:szCs w:val="24"/>
        </w:rPr>
        <w:t>或</w:t>
      </w:r>
      <w:r>
        <w:rPr>
          <w:rFonts w:ascii="Times New Roman" w:hAnsi="Times New Roman"/>
          <w:sz w:val="24"/>
          <w:szCs w:val="24"/>
        </w:rPr>
        <w:t>灌</w:t>
      </w:r>
      <w:r>
        <w:rPr>
          <w:rFonts w:hint="eastAsia" w:ascii="Times New Roman" w:hAnsi="Times New Roman"/>
          <w:sz w:val="24"/>
          <w:szCs w:val="24"/>
        </w:rPr>
        <w:t>装</w:t>
      </w:r>
      <w:r>
        <w:rPr>
          <w:rFonts w:ascii="Times New Roman" w:hAnsi="Times New Roman"/>
          <w:sz w:val="24"/>
          <w:szCs w:val="24"/>
        </w:rPr>
        <w:t>等的需求；</w:t>
      </w:r>
    </w:p>
    <w:p>
      <w:pPr>
        <w:pStyle w:val="26"/>
        <w:spacing w:line="480" w:lineRule="atLeast"/>
        <w:ind w:firstLine="561" w:firstLineChars="0"/>
        <w:rPr>
          <w:rFonts w:ascii="Times New Roman" w:hAnsi="Times New Roman"/>
          <w:sz w:val="24"/>
          <w:szCs w:val="24"/>
        </w:rPr>
      </w:pPr>
      <w:r>
        <w:rPr>
          <w:rFonts w:ascii="Times New Roman" w:hAnsi="Times New Roman"/>
          <w:sz w:val="24"/>
          <w:szCs w:val="24"/>
        </w:rPr>
        <w:t>4其他特定的要求。</w:t>
      </w:r>
    </w:p>
    <w:p>
      <w:pPr>
        <w:pStyle w:val="8"/>
        <w:ind w:firstLine="0" w:firstLineChars="0"/>
        <w:rPr>
          <w:sz w:val="24"/>
        </w:rPr>
      </w:pPr>
      <w:r>
        <w:rPr>
          <w:rFonts w:eastAsia="黑体"/>
          <w:sz w:val="24"/>
        </w:rPr>
        <w:t xml:space="preserve">4.0.2 </w:t>
      </w:r>
      <w:r>
        <w:rPr>
          <w:sz w:val="24"/>
        </w:rPr>
        <w:t>氢气站制氢系统的类型应按下列因素确定：</w:t>
      </w:r>
    </w:p>
    <w:p>
      <w:pPr>
        <w:pStyle w:val="8"/>
        <w:ind w:firstLineChars="0"/>
        <w:rPr>
          <w:sz w:val="24"/>
        </w:rPr>
      </w:pPr>
      <w:r>
        <w:rPr>
          <w:sz w:val="24"/>
        </w:rPr>
        <w:t>1氢气站的规模；</w:t>
      </w:r>
    </w:p>
    <w:p>
      <w:pPr>
        <w:pStyle w:val="8"/>
        <w:ind w:firstLineChars="0"/>
        <w:rPr>
          <w:sz w:val="24"/>
        </w:rPr>
      </w:pPr>
      <w:r>
        <w:rPr>
          <w:sz w:val="24"/>
        </w:rPr>
        <w:t>2当地氢源状况，制氢用原料及电力的供应状况；</w:t>
      </w:r>
    </w:p>
    <w:p>
      <w:pPr>
        <w:pStyle w:val="8"/>
        <w:ind w:left="560" w:firstLine="0" w:firstLineChars="0"/>
        <w:rPr>
          <w:sz w:val="24"/>
        </w:rPr>
      </w:pPr>
      <w:r>
        <w:rPr>
          <w:sz w:val="24"/>
        </w:rPr>
        <w:t>3用户对氢气纯度及其杂质含量、压力的要求；</w:t>
      </w:r>
    </w:p>
    <w:p>
      <w:pPr>
        <w:pStyle w:val="8"/>
        <w:ind w:left="560" w:firstLine="0" w:firstLineChars="0"/>
        <w:rPr>
          <w:sz w:val="24"/>
        </w:rPr>
      </w:pPr>
      <w:r>
        <w:rPr>
          <w:sz w:val="24"/>
        </w:rPr>
        <w:t>4用户使用氢气的特性，如负荷变化情况、连续性要求等；</w:t>
      </w:r>
    </w:p>
    <w:p>
      <w:pPr>
        <w:pStyle w:val="8"/>
        <w:ind w:left="570" w:firstLine="0" w:firstLineChars="0"/>
        <w:rPr>
          <w:sz w:val="24"/>
        </w:rPr>
      </w:pPr>
      <w:r>
        <w:rPr>
          <w:sz w:val="24"/>
        </w:rPr>
        <w:t>5制氢系统的技术经济要求、特性</w:t>
      </w:r>
      <w:r>
        <w:rPr>
          <w:rFonts w:hint="eastAsia"/>
          <w:sz w:val="24"/>
        </w:rPr>
        <w:t>；</w:t>
      </w:r>
    </w:p>
    <w:p>
      <w:pPr>
        <w:pStyle w:val="8"/>
        <w:ind w:left="570" w:firstLine="0" w:firstLineChars="0"/>
        <w:rPr>
          <w:sz w:val="24"/>
        </w:rPr>
      </w:pPr>
      <w:r>
        <w:rPr>
          <w:sz w:val="24"/>
        </w:rPr>
        <w:t>6生态环境等特定的要求。</w:t>
      </w:r>
    </w:p>
    <w:p>
      <w:pPr>
        <w:pStyle w:val="8"/>
        <w:ind w:firstLine="0" w:firstLineChars="0"/>
        <w:rPr>
          <w:sz w:val="24"/>
        </w:rPr>
      </w:pPr>
      <w:r>
        <w:rPr>
          <w:rFonts w:eastAsia="黑体"/>
          <w:sz w:val="24"/>
        </w:rPr>
        <w:t>4.0.3</w:t>
      </w:r>
      <w:r>
        <w:rPr>
          <w:sz w:val="24"/>
        </w:rPr>
        <w:t xml:space="preserve">  水电解制氢系统的设置，应根据下列因素确定：</w:t>
      </w:r>
    </w:p>
    <w:p>
      <w:pPr>
        <w:pStyle w:val="8"/>
        <w:ind w:firstLine="480"/>
        <w:rPr>
          <w:sz w:val="24"/>
        </w:rPr>
      </w:pPr>
      <w:r>
        <w:rPr>
          <w:sz w:val="24"/>
        </w:rPr>
        <w:t>1电源及其供应状况；</w:t>
      </w:r>
    </w:p>
    <w:p>
      <w:pPr>
        <w:pStyle w:val="8"/>
        <w:ind w:firstLine="480"/>
        <w:rPr>
          <w:sz w:val="24"/>
        </w:rPr>
      </w:pPr>
      <w:r>
        <w:rPr>
          <w:sz w:val="24"/>
        </w:rPr>
        <w:t>2制氢能力及其产品压力、纯度和杂质含量的要求；</w:t>
      </w:r>
    </w:p>
    <w:p>
      <w:pPr>
        <w:pStyle w:val="8"/>
        <w:ind w:firstLine="480"/>
        <w:rPr>
          <w:sz w:val="24"/>
        </w:rPr>
      </w:pPr>
      <w:r>
        <w:rPr>
          <w:sz w:val="24"/>
        </w:rPr>
        <w:t>3氢气使用的连续性、各时段的负荷要求；</w:t>
      </w:r>
    </w:p>
    <w:p>
      <w:pPr>
        <w:pStyle w:val="8"/>
        <w:ind w:firstLine="480"/>
        <w:rPr>
          <w:sz w:val="24"/>
        </w:rPr>
      </w:pPr>
      <w:r>
        <w:rPr>
          <w:sz w:val="24"/>
        </w:rPr>
        <w:t>4制氢装置的技术经济指标、特性。</w:t>
      </w:r>
    </w:p>
    <w:p>
      <w:pPr>
        <w:pStyle w:val="8"/>
        <w:ind w:firstLine="0" w:firstLineChars="0"/>
        <w:rPr>
          <w:sz w:val="24"/>
        </w:rPr>
      </w:pPr>
      <w:r>
        <w:rPr>
          <w:rFonts w:eastAsia="黑体"/>
          <w:sz w:val="24"/>
        </w:rPr>
        <w:t>4.0.4</w:t>
      </w:r>
      <w:r>
        <w:rPr>
          <w:sz w:val="24"/>
        </w:rPr>
        <w:t xml:space="preserve">  碱性水电解制氢系统应设有下列装置：</w:t>
      </w:r>
    </w:p>
    <w:p>
      <w:pPr>
        <w:pStyle w:val="8"/>
        <w:ind w:firstLine="480"/>
        <w:rPr>
          <w:sz w:val="24"/>
        </w:rPr>
      </w:pPr>
      <w:r>
        <w:rPr>
          <w:sz w:val="24"/>
        </w:rPr>
        <w:t>1设置压力调节装置，以维持水电解槽出口氢气与氧气之间的压力差值，宜小于0.5</w:t>
      </w:r>
      <w:r>
        <w:rPr>
          <w:sz w:val="24"/>
          <w:lang w:val="en-GB"/>
        </w:rPr>
        <w:t>k</w:t>
      </w:r>
      <w:r>
        <w:rPr>
          <w:sz w:val="24"/>
        </w:rPr>
        <w:t>Pa；</w:t>
      </w:r>
    </w:p>
    <w:p>
      <w:pPr>
        <w:pStyle w:val="8"/>
        <w:ind w:firstLine="480"/>
        <w:rPr>
          <w:sz w:val="24"/>
        </w:rPr>
      </w:pPr>
      <w:r>
        <w:rPr>
          <w:sz w:val="24"/>
        </w:rPr>
        <w:t>2每套水电解制氢装置的氢出气管与氢气总管之间、氧出气管与氧气总管之间，应设放空管、切断阀和取样分析阀；</w:t>
      </w:r>
    </w:p>
    <w:p>
      <w:pPr>
        <w:pStyle w:val="8"/>
        <w:ind w:firstLine="480"/>
        <w:rPr>
          <w:sz w:val="24"/>
        </w:rPr>
      </w:pPr>
      <w:r>
        <w:rPr>
          <w:sz w:val="24"/>
        </w:rPr>
        <w:t>3设有原料水制备装置，包括原料水箱、原料水泵等。原料水泵出口压力应与制氢系统工作压力相适应。</w:t>
      </w:r>
    </w:p>
    <w:p>
      <w:pPr>
        <w:pStyle w:val="8"/>
        <w:ind w:firstLine="480"/>
        <w:rPr>
          <w:sz w:val="24"/>
        </w:rPr>
      </w:pPr>
      <w:r>
        <w:rPr>
          <w:sz w:val="24"/>
        </w:rPr>
        <w:t>4设有碱液配制、回收装置。电解槽入口应设碱液过滤器。</w:t>
      </w:r>
    </w:p>
    <w:p>
      <w:pPr>
        <w:pStyle w:val="8"/>
        <w:ind w:firstLine="0" w:firstLineChars="0"/>
        <w:rPr>
          <w:sz w:val="24"/>
        </w:rPr>
      </w:pPr>
      <w:r>
        <w:rPr>
          <w:sz w:val="24"/>
        </w:rPr>
        <w:t>4.0.5  PEM水电解制氢系统的设置，应根据下列因素确定：</w:t>
      </w:r>
    </w:p>
    <w:p>
      <w:pPr>
        <w:pStyle w:val="8"/>
        <w:ind w:firstLine="480"/>
        <w:rPr>
          <w:sz w:val="24"/>
        </w:rPr>
      </w:pPr>
      <w:r>
        <w:rPr>
          <w:sz w:val="24"/>
        </w:rPr>
        <w:t>1每套水电解制氢装置的氢（氧）出气管与氢（氧）气总管之间，应设放空管、切断阀和分析取样阀；</w:t>
      </w:r>
    </w:p>
    <w:p>
      <w:pPr>
        <w:pStyle w:val="8"/>
        <w:ind w:firstLine="480"/>
        <w:rPr>
          <w:sz w:val="24"/>
        </w:rPr>
      </w:pPr>
      <w:r>
        <w:rPr>
          <w:sz w:val="24"/>
        </w:rPr>
        <w:t>2设有原料水制备装置，包括原料水箱、原料水泵等。原料水泵出口压力应与制氢系统工作压力相适应。</w:t>
      </w:r>
    </w:p>
    <w:p>
      <w:pPr>
        <w:pStyle w:val="8"/>
        <w:ind w:firstLine="0" w:firstLineChars="0"/>
        <w:rPr>
          <w:sz w:val="24"/>
        </w:rPr>
      </w:pPr>
      <w:r>
        <w:rPr>
          <w:rFonts w:eastAsia="黑体"/>
          <w:sz w:val="24"/>
        </w:rPr>
        <w:t>4.0.6</w:t>
      </w:r>
      <w:r>
        <w:rPr>
          <w:sz w:val="24"/>
        </w:rPr>
        <w:t xml:space="preserve">  水电解制氢系统制取的氧气，可根据规模、应用需要进行回收或直接排入大气，并应符合下列规定：</w:t>
      </w:r>
    </w:p>
    <w:p>
      <w:pPr>
        <w:pStyle w:val="8"/>
        <w:ind w:firstLine="480"/>
        <w:rPr>
          <w:sz w:val="24"/>
        </w:rPr>
      </w:pPr>
      <w:r>
        <w:rPr>
          <w:sz w:val="24"/>
        </w:rPr>
        <w:t>1 电解氧气回收或直接排入大气，均应采取措施保持氧气与氢气压力的平衡</w:t>
      </w:r>
      <w:r>
        <w:rPr>
          <w:rFonts w:hint="eastAsia"/>
          <w:sz w:val="24"/>
        </w:rPr>
        <w:t>；</w:t>
      </w:r>
    </w:p>
    <w:p>
      <w:pPr>
        <w:pStyle w:val="8"/>
        <w:ind w:firstLine="480"/>
        <w:rPr>
          <w:rFonts w:eastAsia="黑体"/>
          <w:sz w:val="24"/>
        </w:rPr>
      </w:pPr>
      <w:r>
        <w:rPr>
          <w:rFonts w:eastAsia="黑体"/>
          <w:sz w:val="24"/>
        </w:rPr>
        <w:t>2回收电解氧气时，应</w:t>
      </w:r>
      <w:r>
        <w:rPr>
          <w:rFonts w:hint="eastAsia" w:eastAsia="黑体"/>
          <w:sz w:val="24"/>
        </w:rPr>
        <w:t>在容器顶部</w:t>
      </w:r>
      <w:r>
        <w:rPr>
          <w:rFonts w:eastAsia="黑体"/>
          <w:sz w:val="24"/>
        </w:rPr>
        <w:t>设置热导式氧中氢在线自动分析仪和手工分析装置</w:t>
      </w:r>
      <w:r>
        <w:rPr>
          <w:rFonts w:hint="eastAsia" w:eastAsia="黑体"/>
          <w:sz w:val="24"/>
        </w:rPr>
        <w:t>；</w:t>
      </w:r>
    </w:p>
    <w:p>
      <w:pPr>
        <w:pStyle w:val="8"/>
        <w:ind w:firstLineChars="0"/>
        <w:rPr>
          <w:sz w:val="24"/>
        </w:rPr>
      </w:pPr>
      <w:r>
        <w:rPr>
          <w:rFonts w:hint="eastAsia"/>
          <w:sz w:val="24"/>
        </w:rPr>
        <w:t>3</w:t>
      </w:r>
      <w:r>
        <w:rPr>
          <w:sz w:val="24"/>
        </w:rPr>
        <w:t>水电解制氢系统的氧气产量超过</w:t>
      </w:r>
      <w:r>
        <w:rPr>
          <w:rFonts w:hint="eastAsia"/>
          <w:sz w:val="24"/>
        </w:rPr>
        <w:t>1000</w:t>
      </w:r>
      <w:r>
        <w:rPr>
          <w:sz w:val="24"/>
        </w:rPr>
        <w:t>N</w:t>
      </w:r>
      <w:r>
        <w:rPr>
          <w:rFonts w:hint="eastAsia"/>
          <w:sz w:val="24"/>
        </w:rPr>
        <w:t>m</w:t>
      </w:r>
      <w:r>
        <w:rPr>
          <w:sz w:val="24"/>
          <w:vertAlign w:val="superscript"/>
        </w:rPr>
        <w:t>3</w:t>
      </w:r>
      <w:r>
        <w:rPr>
          <w:sz w:val="24"/>
        </w:rPr>
        <w:t>/</w:t>
      </w:r>
      <w:r>
        <w:rPr>
          <w:rFonts w:hint="eastAsia"/>
          <w:sz w:val="24"/>
        </w:rPr>
        <w:t>h宜采用液化方式回收氧气</w:t>
      </w:r>
      <w:r>
        <w:rPr>
          <w:sz w:val="24"/>
        </w:rPr>
        <w:t>。</w:t>
      </w:r>
    </w:p>
    <w:p>
      <w:pPr>
        <w:pStyle w:val="8"/>
        <w:ind w:firstLine="0" w:firstLineChars="0"/>
        <w:rPr>
          <w:sz w:val="24"/>
        </w:rPr>
      </w:pPr>
      <w:r>
        <w:rPr>
          <w:rFonts w:eastAsia="黑体"/>
          <w:sz w:val="24"/>
        </w:rPr>
        <w:t>4.0.7</w:t>
      </w:r>
      <w:r>
        <w:rPr>
          <w:sz w:val="24"/>
        </w:rPr>
        <w:t xml:space="preserve">  变压吸附提纯氢系统的设置，应根据下列因素确定：</w:t>
      </w:r>
    </w:p>
    <w:p>
      <w:pPr>
        <w:pStyle w:val="8"/>
        <w:ind w:firstLineChars="0"/>
        <w:rPr>
          <w:sz w:val="24"/>
        </w:rPr>
      </w:pPr>
      <w:r>
        <w:rPr>
          <w:sz w:val="24"/>
        </w:rPr>
        <w:t>1原料气的压力、组成和杂质含量；</w:t>
      </w:r>
    </w:p>
    <w:p>
      <w:pPr>
        <w:pStyle w:val="8"/>
        <w:ind w:firstLineChars="0"/>
        <w:rPr>
          <w:sz w:val="24"/>
        </w:rPr>
      </w:pPr>
      <w:r>
        <w:rPr>
          <w:sz w:val="24"/>
        </w:rPr>
        <w:t>2产品氢气的压力、纯度和杂质含量；</w:t>
      </w:r>
    </w:p>
    <w:p>
      <w:pPr>
        <w:pStyle w:val="8"/>
        <w:ind w:firstLineChars="0"/>
        <w:rPr>
          <w:sz w:val="24"/>
        </w:rPr>
      </w:pPr>
      <w:r>
        <w:rPr>
          <w:sz w:val="24"/>
        </w:rPr>
        <w:t>3氢气使用的连续性、负荷变化状况；</w:t>
      </w:r>
    </w:p>
    <w:p>
      <w:pPr>
        <w:pStyle w:val="8"/>
        <w:ind w:left="560" w:firstLine="0" w:firstLineChars="0"/>
        <w:rPr>
          <w:sz w:val="24"/>
        </w:rPr>
      </w:pPr>
      <w:r>
        <w:rPr>
          <w:sz w:val="24"/>
        </w:rPr>
        <w:t>4技术经济参数。</w:t>
      </w:r>
    </w:p>
    <w:p>
      <w:pPr>
        <w:pStyle w:val="8"/>
        <w:ind w:firstLine="0" w:firstLineChars="0"/>
        <w:rPr>
          <w:sz w:val="24"/>
        </w:rPr>
      </w:pPr>
      <w:r>
        <w:rPr>
          <w:rFonts w:eastAsia="黑体"/>
          <w:sz w:val="24"/>
        </w:rPr>
        <w:t>4.0.8</w:t>
      </w:r>
      <w:r>
        <w:rPr>
          <w:sz w:val="24"/>
        </w:rPr>
        <w:t xml:space="preserve">  变压吸附提纯氢系统，应设有下列装置：</w:t>
      </w:r>
    </w:p>
    <w:p>
      <w:pPr>
        <w:pStyle w:val="8"/>
        <w:ind w:firstLine="570" w:firstLineChars="0"/>
        <w:rPr>
          <w:sz w:val="24"/>
        </w:rPr>
      </w:pPr>
      <w:r>
        <w:rPr>
          <w:sz w:val="24"/>
        </w:rPr>
        <w:t>1根据原料气和产品氢气的杂质含量确定原料气预处理设施；</w:t>
      </w:r>
    </w:p>
    <w:p>
      <w:pPr>
        <w:pStyle w:val="8"/>
        <w:ind w:firstLine="570" w:firstLineChars="0"/>
        <w:rPr>
          <w:sz w:val="24"/>
        </w:rPr>
      </w:pPr>
      <w:r>
        <w:rPr>
          <w:sz w:val="24"/>
        </w:rPr>
        <w:t>2吸附器组及程序控制阀；</w:t>
      </w:r>
    </w:p>
    <w:p>
      <w:pPr>
        <w:pStyle w:val="8"/>
        <w:ind w:firstLine="570" w:firstLineChars="0"/>
        <w:rPr>
          <w:sz w:val="24"/>
        </w:rPr>
      </w:pPr>
      <w:r>
        <w:rPr>
          <w:sz w:val="24"/>
        </w:rPr>
        <w:t>3根据用户对氢气纯度及杂质含量等要求确定氢气精制装置；</w:t>
      </w:r>
    </w:p>
    <w:p>
      <w:pPr>
        <w:pStyle w:val="8"/>
        <w:ind w:firstLine="570" w:firstLineChars="0"/>
        <w:rPr>
          <w:sz w:val="24"/>
        </w:rPr>
      </w:pPr>
      <w:r>
        <w:rPr>
          <w:sz w:val="24"/>
        </w:rPr>
        <w:t>4氢气和解吸气的缓冲设施；</w:t>
      </w:r>
    </w:p>
    <w:p>
      <w:pPr>
        <w:pStyle w:val="8"/>
        <w:ind w:firstLine="570" w:firstLineChars="0"/>
        <w:rPr>
          <w:sz w:val="24"/>
        </w:rPr>
      </w:pPr>
      <w:r>
        <w:rPr>
          <w:sz w:val="24"/>
        </w:rPr>
        <w:t>5解吸气回收利用设施；</w:t>
      </w:r>
    </w:p>
    <w:p>
      <w:pPr>
        <w:pStyle w:val="8"/>
        <w:ind w:firstLine="570" w:firstLineChars="0"/>
        <w:rPr>
          <w:sz w:val="24"/>
        </w:rPr>
      </w:pPr>
      <w:r>
        <w:rPr>
          <w:sz w:val="24"/>
        </w:rPr>
        <w:t>6根据需要设置原料气、产品氢气、解吸气的增压设施。</w:t>
      </w:r>
    </w:p>
    <w:p>
      <w:pPr>
        <w:pStyle w:val="26"/>
        <w:tabs>
          <w:tab w:val="left" w:pos="630"/>
        </w:tabs>
        <w:autoSpaceDE w:val="0"/>
        <w:autoSpaceDN w:val="0"/>
        <w:adjustRightInd w:val="0"/>
        <w:spacing w:line="480" w:lineRule="exact"/>
        <w:ind w:firstLine="0" w:firstLineChars="0"/>
        <w:jc w:val="left"/>
        <w:rPr>
          <w:rFonts w:ascii="Times New Roman" w:hAnsi="Times New Roman"/>
          <w:sz w:val="24"/>
          <w:szCs w:val="24"/>
        </w:rPr>
      </w:pPr>
      <w:r>
        <w:rPr>
          <w:rFonts w:ascii="Times New Roman" w:hAnsi="Times New Roman" w:eastAsia="黑体"/>
          <w:sz w:val="24"/>
          <w:szCs w:val="24"/>
        </w:rPr>
        <w:t>4.0.9</w:t>
      </w:r>
      <w:r>
        <w:rPr>
          <w:rFonts w:ascii="Times New Roman" w:hAnsi="Times New Roman"/>
          <w:sz w:val="24"/>
          <w:szCs w:val="24"/>
        </w:rPr>
        <w:t xml:space="preserve">  煤气化制氢变压吸附提纯氢系统，应设有下列装置：</w:t>
      </w:r>
    </w:p>
    <w:p>
      <w:pPr>
        <w:pStyle w:val="8"/>
        <w:ind w:firstLineChars="0"/>
        <w:rPr>
          <w:sz w:val="24"/>
        </w:rPr>
      </w:pPr>
      <w:r>
        <w:rPr>
          <w:sz w:val="24"/>
        </w:rPr>
        <w:t>1根据煤气化获得的原料气组分和产品氢气品质要求，确定预处理装置；</w:t>
      </w:r>
    </w:p>
    <w:p>
      <w:pPr>
        <w:pStyle w:val="8"/>
        <w:ind w:firstLineChars="0"/>
        <w:rPr>
          <w:sz w:val="24"/>
        </w:rPr>
      </w:pPr>
      <w:r>
        <w:rPr>
          <w:sz w:val="24"/>
        </w:rPr>
        <w:t>2变压吸附提纯氢系统的设置，应符合本标准第4.0.8条的规定。</w:t>
      </w:r>
    </w:p>
    <w:p>
      <w:pPr>
        <w:pStyle w:val="26"/>
        <w:tabs>
          <w:tab w:val="left" w:pos="630"/>
        </w:tabs>
        <w:autoSpaceDE w:val="0"/>
        <w:autoSpaceDN w:val="0"/>
        <w:adjustRightInd w:val="0"/>
        <w:spacing w:line="480" w:lineRule="exact"/>
        <w:ind w:firstLine="0" w:firstLineChars="0"/>
        <w:jc w:val="left"/>
        <w:rPr>
          <w:rFonts w:ascii="Times New Roman" w:hAnsi="Times New Roman"/>
          <w:sz w:val="24"/>
          <w:szCs w:val="24"/>
        </w:rPr>
      </w:pPr>
      <w:r>
        <w:rPr>
          <w:rFonts w:ascii="Times New Roman" w:hAnsi="Times New Roman" w:eastAsia="黑体"/>
          <w:sz w:val="24"/>
          <w:szCs w:val="24"/>
        </w:rPr>
        <w:t xml:space="preserve">4.0.10 </w:t>
      </w:r>
      <w:r>
        <w:rPr>
          <w:rFonts w:ascii="Times New Roman" w:hAnsi="Times New Roman"/>
          <w:sz w:val="24"/>
          <w:szCs w:val="24"/>
        </w:rPr>
        <w:t xml:space="preserve"> 天然气转化制氢系统，应设有下列装置：</w:t>
      </w:r>
    </w:p>
    <w:p>
      <w:pPr>
        <w:pStyle w:val="8"/>
        <w:ind w:firstLine="570" w:firstLineChars="0"/>
        <w:rPr>
          <w:sz w:val="24"/>
        </w:rPr>
      </w:pPr>
      <w:r>
        <w:rPr>
          <w:sz w:val="24"/>
        </w:rPr>
        <w:t>1根据天然气组分和产品氢气的品质要求，确定预处理装置；</w:t>
      </w:r>
    </w:p>
    <w:p>
      <w:pPr>
        <w:pStyle w:val="8"/>
        <w:ind w:firstLine="570" w:firstLineChars="0"/>
        <w:rPr>
          <w:sz w:val="24"/>
        </w:rPr>
      </w:pPr>
      <w:r>
        <w:rPr>
          <w:sz w:val="24"/>
        </w:rPr>
        <w:t>2根据制氢规模和技术经济要求，合理设置转化炉、变换装置等设备；</w:t>
      </w:r>
    </w:p>
    <w:p>
      <w:pPr>
        <w:pStyle w:val="8"/>
        <w:ind w:firstLine="570" w:firstLineChars="0"/>
        <w:rPr>
          <w:sz w:val="24"/>
        </w:rPr>
      </w:pPr>
      <w:r>
        <w:rPr>
          <w:sz w:val="24"/>
        </w:rPr>
        <w:t>3变压吸附提纯氢系统的设置，应符合本标准4.0.8的规定。</w:t>
      </w:r>
    </w:p>
    <w:p>
      <w:pPr>
        <w:pStyle w:val="8"/>
        <w:ind w:firstLine="0" w:firstLineChars="0"/>
        <w:rPr>
          <w:sz w:val="24"/>
        </w:rPr>
      </w:pPr>
      <w:r>
        <w:rPr>
          <w:rFonts w:eastAsia="黑体"/>
          <w:sz w:val="24"/>
        </w:rPr>
        <w:t>4.0.11</w:t>
      </w:r>
      <w:r>
        <w:rPr>
          <w:sz w:val="24"/>
        </w:rPr>
        <w:t xml:space="preserve">  甲醇</w:t>
      </w:r>
      <w:r>
        <w:rPr>
          <w:rFonts w:hint="eastAsia"/>
          <w:sz w:val="24"/>
        </w:rPr>
        <w:t>蒸汽</w:t>
      </w:r>
      <w:r>
        <w:rPr>
          <w:sz w:val="24"/>
        </w:rPr>
        <w:t>转化制氢系统，应设有下列装置：</w:t>
      </w:r>
    </w:p>
    <w:p>
      <w:pPr>
        <w:pStyle w:val="8"/>
        <w:ind w:firstLineChars="0"/>
        <w:rPr>
          <w:sz w:val="24"/>
        </w:rPr>
      </w:pPr>
      <w:r>
        <w:rPr>
          <w:sz w:val="24"/>
        </w:rPr>
        <w:t>1原料甲醇及脱盐水的储存、输送装置；</w:t>
      </w:r>
    </w:p>
    <w:p>
      <w:pPr>
        <w:pStyle w:val="8"/>
        <w:ind w:firstLine="570" w:firstLineChars="0"/>
        <w:rPr>
          <w:sz w:val="24"/>
        </w:rPr>
      </w:pPr>
      <w:r>
        <w:rPr>
          <w:sz w:val="24"/>
        </w:rPr>
        <w:t>2甲醇转化反应器及其辅助装置，如加热炉或加热器、热回收设备等；</w:t>
      </w:r>
    </w:p>
    <w:p>
      <w:pPr>
        <w:pStyle w:val="8"/>
        <w:ind w:firstLine="570" w:firstLineChars="0"/>
        <w:rPr>
          <w:sz w:val="24"/>
        </w:rPr>
      </w:pPr>
      <w:r>
        <w:rPr>
          <w:sz w:val="24"/>
        </w:rPr>
        <w:t>3变压吸附提纯氢系统的设置，应符合本标准第4.0.8条的规定。</w:t>
      </w:r>
    </w:p>
    <w:p>
      <w:pPr>
        <w:pStyle w:val="8"/>
        <w:ind w:firstLine="0" w:firstLineChars="0"/>
        <w:rPr>
          <w:sz w:val="24"/>
        </w:rPr>
      </w:pPr>
      <w:r>
        <w:rPr>
          <w:rFonts w:eastAsia="黑体"/>
          <w:sz w:val="24"/>
        </w:rPr>
        <w:t>4.0.12</w:t>
      </w:r>
      <w:r>
        <w:rPr>
          <w:sz w:val="24"/>
        </w:rPr>
        <w:t xml:space="preserve">   氢气压缩机的设置，应符合下列要求：</w:t>
      </w:r>
    </w:p>
    <w:p>
      <w:pPr>
        <w:pStyle w:val="8"/>
        <w:ind w:firstLineChars="0"/>
        <w:rPr>
          <w:sz w:val="24"/>
        </w:rPr>
      </w:pPr>
      <w:r>
        <w:rPr>
          <w:sz w:val="24"/>
        </w:rPr>
        <w:t>1氢气压缩机吸气端应设置防止负压的措施，</w:t>
      </w:r>
      <w:r>
        <w:rPr>
          <w:rFonts w:hint="eastAsia"/>
          <w:sz w:val="24"/>
        </w:rPr>
        <w:t>宜</w:t>
      </w:r>
      <w:r>
        <w:rPr>
          <w:sz w:val="24"/>
        </w:rPr>
        <w:t>设置氢气缓冲罐等；</w:t>
      </w:r>
    </w:p>
    <w:p>
      <w:pPr>
        <w:pStyle w:val="8"/>
        <w:ind w:firstLineChars="0"/>
        <w:rPr>
          <w:sz w:val="24"/>
        </w:rPr>
      </w:pPr>
      <w:r>
        <w:rPr>
          <w:sz w:val="24"/>
        </w:rPr>
        <w:t>2数台氢气压缩机可并联从同一氢气管道吸气，但应采取措施确保吸气侧氢气为正压；</w:t>
      </w:r>
    </w:p>
    <w:p>
      <w:pPr>
        <w:pStyle w:val="8"/>
        <w:ind w:firstLineChars="0"/>
        <w:rPr>
          <w:sz w:val="24"/>
        </w:rPr>
      </w:pPr>
      <w:r>
        <w:rPr>
          <w:sz w:val="24"/>
        </w:rPr>
        <w:t>3压缩机的进气管与排气管之间宜设旁通管。</w:t>
      </w:r>
    </w:p>
    <w:p>
      <w:pPr>
        <w:pStyle w:val="8"/>
        <w:ind w:firstLine="0" w:firstLineChars="0"/>
        <w:rPr>
          <w:rFonts w:eastAsia="黑体"/>
          <w:sz w:val="24"/>
        </w:rPr>
      </w:pPr>
      <w:r>
        <w:rPr>
          <w:rFonts w:eastAsia="黑体"/>
          <w:sz w:val="24"/>
        </w:rPr>
        <w:t>4.0.13  氢气压缩机安全保护装置的设置，应符合下列规定：</w:t>
      </w:r>
    </w:p>
    <w:p>
      <w:pPr>
        <w:pStyle w:val="8"/>
        <w:ind w:firstLine="570" w:firstLineChars="0"/>
        <w:rPr>
          <w:rFonts w:eastAsia="黑体"/>
          <w:sz w:val="24"/>
        </w:rPr>
      </w:pPr>
      <w:r>
        <w:rPr>
          <w:rFonts w:eastAsia="黑体"/>
          <w:sz w:val="24"/>
        </w:rPr>
        <w:t>1压缩机出口与</w:t>
      </w:r>
      <w:r>
        <w:rPr>
          <w:rFonts w:hint="eastAsia" w:eastAsia="黑体"/>
          <w:sz w:val="24"/>
        </w:rPr>
        <w:t>第</w:t>
      </w:r>
      <w:r>
        <w:rPr>
          <w:rFonts w:eastAsia="黑体"/>
          <w:sz w:val="24"/>
        </w:rPr>
        <w:t>1</w:t>
      </w:r>
      <w:r>
        <w:rPr>
          <w:rFonts w:hint="eastAsia" w:eastAsia="黑体"/>
          <w:sz w:val="24"/>
        </w:rPr>
        <w:t>个切断阀</w:t>
      </w:r>
      <w:r>
        <w:rPr>
          <w:rFonts w:eastAsia="黑体"/>
          <w:sz w:val="24"/>
        </w:rPr>
        <w:t>之间，应设安全阀；</w:t>
      </w:r>
    </w:p>
    <w:p>
      <w:pPr>
        <w:pStyle w:val="8"/>
        <w:ind w:firstLine="570" w:firstLineChars="0"/>
        <w:rPr>
          <w:rFonts w:eastAsia="黑体"/>
          <w:sz w:val="24"/>
        </w:rPr>
      </w:pPr>
      <w:r>
        <w:rPr>
          <w:rFonts w:eastAsia="黑体"/>
          <w:sz w:val="24"/>
        </w:rPr>
        <w:t>2压缩机进、出口应设高低压报警和超限停机装置；</w:t>
      </w:r>
    </w:p>
    <w:p>
      <w:pPr>
        <w:pStyle w:val="8"/>
        <w:ind w:firstLine="570" w:firstLineChars="0"/>
        <w:rPr>
          <w:rFonts w:eastAsia="黑体"/>
          <w:sz w:val="24"/>
        </w:rPr>
      </w:pPr>
      <w:r>
        <w:rPr>
          <w:rFonts w:eastAsia="黑体"/>
          <w:sz w:val="24"/>
        </w:rPr>
        <w:t>3润滑油系统应设油压过低或油温过高的报警装置；</w:t>
      </w:r>
    </w:p>
    <w:p>
      <w:pPr>
        <w:pStyle w:val="8"/>
        <w:ind w:firstLine="570" w:firstLineChars="0"/>
        <w:rPr>
          <w:rFonts w:eastAsia="黑体"/>
          <w:sz w:val="24"/>
        </w:rPr>
      </w:pPr>
      <w:r>
        <w:rPr>
          <w:rFonts w:eastAsia="黑体"/>
          <w:sz w:val="24"/>
        </w:rPr>
        <w:t>4压缩机的冷却水系统应设温度或压力报警和停机装置；</w:t>
      </w:r>
    </w:p>
    <w:p>
      <w:pPr>
        <w:pStyle w:val="8"/>
        <w:ind w:firstLine="570" w:firstLineChars="0"/>
        <w:rPr>
          <w:rFonts w:eastAsia="黑体"/>
          <w:sz w:val="24"/>
        </w:rPr>
      </w:pPr>
      <w:r>
        <w:rPr>
          <w:rFonts w:eastAsia="黑体"/>
          <w:sz w:val="24"/>
        </w:rPr>
        <w:t>5压缩机进、出口管路应设有置换吹扫口。</w:t>
      </w:r>
    </w:p>
    <w:p>
      <w:pPr>
        <w:pStyle w:val="8"/>
        <w:ind w:firstLine="0" w:firstLineChars="0"/>
        <w:rPr>
          <w:sz w:val="24"/>
        </w:rPr>
      </w:pPr>
      <w:r>
        <w:rPr>
          <w:rFonts w:eastAsia="黑体"/>
          <w:sz w:val="24"/>
        </w:rPr>
        <w:t>4.0.14</w:t>
      </w:r>
      <w:r>
        <w:rPr>
          <w:sz w:val="24"/>
        </w:rPr>
        <w:t xml:space="preserve">  氢气站、供氢站可采用气态、液态和固态方式储存氢气，并应符合下列要求：</w:t>
      </w:r>
    </w:p>
    <w:p>
      <w:pPr>
        <w:pStyle w:val="8"/>
        <w:ind w:firstLine="570" w:firstLineChars="0"/>
        <w:rPr>
          <w:sz w:val="24"/>
        </w:rPr>
      </w:pPr>
      <w:r>
        <w:rPr>
          <w:sz w:val="24"/>
        </w:rPr>
        <w:t>1储氢量应满足制氢或供氢系统的制氢或供氢能力、供氢或用氢压力和氢气流量的均衡、连续的要求；</w:t>
      </w:r>
    </w:p>
    <w:p>
      <w:pPr>
        <w:pStyle w:val="8"/>
        <w:ind w:firstLine="570" w:firstLineChars="0"/>
        <w:rPr>
          <w:sz w:val="24"/>
        </w:rPr>
      </w:pPr>
      <w:r>
        <w:rPr>
          <w:sz w:val="24"/>
        </w:rPr>
        <w:t>2采用固态储氢装置时，应设有换热系统及相应的控制阀门等；</w:t>
      </w:r>
    </w:p>
    <w:p>
      <w:pPr>
        <w:pStyle w:val="8"/>
        <w:ind w:firstLine="570" w:firstLineChars="0"/>
        <w:rPr>
          <w:sz w:val="24"/>
        </w:rPr>
      </w:pPr>
      <w:r>
        <w:rPr>
          <w:sz w:val="24"/>
        </w:rPr>
        <w:t>3采用气态氢储存时，应根据氢气压力要求设置相应压力的氢气压缩机</w:t>
      </w:r>
      <w:r>
        <w:rPr>
          <w:rFonts w:hint="eastAsia"/>
          <w:sz w:val="24"/>
        </w:rPr>
        <w:t>；</w:t>
      </w:r>
    </w:p>
    <w:p>
      <w:pPr>
        <w:pStyle w:val="8"/>
        <w:ind w:firstLine="570" w:firstLineChars="0"/>
        <w:rPr>
          <w:sz w:val="24"/>
        </w:rPr>
      </w:pPr>
      <w:r>
        <w:rPr>
          <w:sz w:val="24"/>
        </w:rPr>
        <w:t>4采用液氢罐供氢时，应设有满足用户压力、温度及流量要求的汽化装置等。</w:t>
      </w:r>
    </w:p>
    <w:p>
      <w:pPr>
        <w:pStyle w:val="8"/>
        <w:ind w:firstLine="0" w:firstLineChars="0"/>
        <w:rPr>
          <w:sz w:val="24"/>
        </w:rPr>
      </w:pPr>
      <w:r>
        <w:rPr>
          <w:rFonts w:eastAsia="黑体"/>
          <w:sz w:val="24"/>
        </w:rPr>
        <w:t xml:space="preserve">4.0.15  </w:t>
      </w:r>
      <w:r>
        <w:rPr>
          <w:sz w:val="24"/>
        </w:rPr>
        <w:t>氢气站、供氢站设有氢液化装置时，应符合下列规定：</w:t>
      </w:r>
    </w:p>
    <w:p>
      <w:pPr>
        <w:pStyle w:val="8"/>
        <w:ind w:firstLine="480"/>
        <w:rPr>
          <w:sz w:val="24"/>
        </w:rPr>
      </w:pPr>
      <w:r>
        <w:rPr>
          <w:sz w:val="24"/>
        </w:rPr>
        <w:t>1根据氢液化装置的规模、氢源品质等，经技术经济比较选定氢液化系统；</w:t>
      </w:r>
    </w:p>
    <w:p>
      <w:pPr>
        <w:pStyle w:val="8"/>
        <w:ind w:firstLine="480"/>
        <w:rPr>
          <w:sz w:val="24"/>
        </w:rPr>
      </w:pPr>
      <w:r>
        <w:rPr>
          <w:sz w:val="24"/>
        </w:rPr>
        <w:t>2液氢系统的设置应符合GB/T 40061的规定；</w:t>
      </w:r>
    </w:p>
    <w:p>
      <w:pPr>
        <w:pStyle w:val="8"/>
        <w:ind w:firstLine="480"/>
        <w:rPr>
          <w:sz w:val="24"/>
        </w:rPr>
      </w:pPr>
      <w:r>
        <w:rPr>
          <w:sz w:val="24"/>
        </w:rPr>
        <w:t>3液氢储存系统应符合GB/T 40060的规定。</w:t>
      </w:r>
    </w:p>
    <w:p>
      <w:pPr>
        <w:pStyle w:val="8"/>
        <w:ind w:firstLine="0" w:firstLineChars="0"/>
        <w:rPr>
          <w:rFonts w:eastAsia="黑体"/>
          <w:sz w:val="24"/>
        </w:rPr>
      </w:pPr>
      <w:r>
        <w:rPr>
          <w:rFonts w:eastAsia="黑体"/>
          <w:sz w:val="24"/>
        </w:rPr>
        <w:t>4.0.16  氢气站、供氢站的氢气储存压力容器应设有安全设施，并应符合下列规定：</w:t>
      </w:r>
    </w:p>
    <w:p>
      <w:pPr>
        <w:pStyle w:val="8"/>
        <w:ind w:firstLine="570" w:firstLineChars="0"/>
        <w:rPr>
          <w:rFonts w:eastAsia="黑体"/>
          <w:sz w:val="24"/>
        </w:rPr>
      </w:pPr>
      <w:r>
        <w:rPr>
          <w:rFonts w:eastAsia="黑体"/>
          <w:sz w:val="24"/>
        </w:rPr>
        <w:t>1应设置安全泄压装置；</w:t>
      </w:r>
    </w:p>
    <w:p>
      <w:pPr>
        <w:pStyle w:val="8"/>
        <w:ind w:firstLine="570" w:firstLineChars="0"/>
        <w:rPr>
          <w:rFonts w:eastAsia="黑体"/>
          <w:sz w:val="24"/>
        </w:rPr>
      </w:pPr>
      <w:r>
        <w:rPr>
          <w:rFonts w:eastAsia="黑体"/>
          <w:sz w:val="24"/>
        </w:rPr>
        <w:t>2应设有氢气放空管；</w:t>
      </w:r>
    </w:p>
    <w:p>
      <w:pPr>
        <w:pStyle w:val="8"/>
        <w:ind w:firstLine="570" w:firstLineChars="0"/>
        <w:rPr>
          <w:rFonts w:eastAsia="黑体"/>
          <w:sz w:val="24"/>
        </w:rPr>
      </w:pPr>
      <w:r>
        <w:rPr>
          <w:rFonts w:eastAsia="黑体"/>
          <w:sz w:val="24"/>
        </w:rPr>
        <w:t>3应设压力测量仪表；</w:t>
      </w:r>
    </w:p>
    <w:p>
      <w:pPr>
        <w:pStyle w:val="8"/>
        <w:ind w:firstLine="570" w:firstLineChars="0"/>
        <w:rPr>
          <w:sz w:val="24"/>
        </w:rPr>
      </w:pPr>
      <w:r>
        <w:rPr>
          <w:rFonts w:eastAsia="黑体"/>
          <w:sz w:val="24"/>
        </w:rPr>
        <w:t>4应设氮气吹扫置换接口。</w:t>
      </w:r>
    </w:p>
    <w:p>
      <w:pPr>
        <w:pStyle w:val="8"/>
        <w:ind w:firstLine="0" w:firstLineChars="0"/>
        <w:rPr>
          <w:sz w:val="24"/>
        </w:rPr>
      </w:pPr>
      <w:r>
        <w:rPr>
          <w:sz w:val="24"/>
        </w:rPr>
        <w:t>4.0.17  各类制氢系统中的氢气纯化</w:t>
      </w:r>
      <w:r>
        <w:rPr>
          <w:rFonts w:hint="eastAsia"/>
          <w:sz w:val="24"/>
        </w:rPr>
        <w:t>装置及其单体</w:t>
      </w:r>
      <w:r>
        <w:rPr>
          <w:sz w:val="24"/>
        </w:rPr>
        <w:t>设备，应根据纯化前后的氢气压力、纯度及杂质含量和纯化用材料的品种、活化</w:t>
      </w:r>
      <w:r>
        <w:rPr>
          <w:rFonts w:hint="eastAsia"/>
          <w:sz w:val="24"/>
        </w:rPr>
        <w:t>或</w:t>
      </w:r>
      <w:r>
        <w:rPr>
          <w:sz w:val="24"/>
        </w:rPr>
        <w:t>再生方法等确定。</w:t>
      </w:r>
    </w:p>
    <w:p>
      <w:pPr>
        <w:pStyle w:val="8"/>
        <w:ind w:firstLine="0" w:firstLineChars="0"/>
        <w:rPr>
          <w:rFonts w:eastAsia="黑体"/>
          <w:sz w:val="24"/>
        </w:rPr>
      </w:pPr>
      <w:r>
        <w:rPr>
          <w:rFonts w:eastAsia="黑体"/>
          <w:sz w:val="24"/>
        </w:rPr>
        <w:t xml:space="preserve">4.0.18  </w:t>
      </w:r>
      <w:r>
        <w:rPr>
          <w:sz w:val="24"/>
        </w:rPr>
        <w:t>氢气站</w:t>
      </w:r>
      <w:r>
        <w:rPr>
          <w:rFonts w:hint="eastAsia"/>
          <w:sz w:val="24"/>
        </w:rPr>
        <w:t>、</w:t>
      </w:r>
      <w:r>
        <w:rPr>
          <w:sz w:val="24"/>
        </w:rPr>
        <w:t>供氢站应按外销氢气量选择氢气</w:t>
      </w:r>
      <w:r>
        <w:rPr>
          <w:rFonts w:hint="eastAsia"/>
          <w:sz w:val="24"/>
        </w:rPr>
        <w:t>充</w:t>
      </w:r>
      <w:r>
        <w:rPr>
          <w:sz w:val="24"/>
        </w:rPr>
        <w:t>装方式。氢气</w:t>
      </w:r>
      <w:r>
        <w:rPr>
          <w:rFonts w:hint="eastAsia"/>
          <w:sz w:val="24"/>
        </w:rPr>
        <w:t>充</w:t>
      </w:r>
      <w:r>
        <w:rPr>
          <w:sz w:val="24"/>
        </w:rPr>
        <w:t>装系统的设置应符合下列规定：</w:t>
      </w:r>
    </w:p>
    <w:p>
      <w:pPr>
        <w:pStyle w:val="8"/>
        <w:ind w:firstLine="570" w:firstLineChars="0"/>
        <w:rPr>
          <w:rFonts w:eastAsia="黑体"/>
          <w:sz w:val="24"/>
        </w:rPr>
      </w:pPr>
      <w:r>
        <w:rPr>
          <w:rFonts w:eastAsia="黑体"/>
          <w:sz w:val="24"/>
        </w:rPr>
        <w:t>1 应设有超压泄放用安全阀；</w:t>
      </w:r>
    </w:p>
    <w:p>
      <w:pPr>
        <w:pStyle w:val="8"/>
        <w:ind w:firstLine="570" w:firstLineChars="0"/>
        <w:rPr>
          <w:sz w:val="24"/>
        </w:rPr>
      </w:pPr>
      <w:r>
        <w:rPr>
          <w:rFonts w:eastAsia="黑体"/>
          <w:sz w:val="24"/>
        </w:rPr>
        <w:t xml:space="preserve">2 </w:t>
      </w:r>
      <w:r>
        <w:rPr>
          <w:sz w:val="24"/>
        </w:rPr>
        <w:t>宜设有氢气回流阀，氢气回流至氢气压缩机前管路或氢气缓冲罐；</w:t>
      </w:r>
    </w:p>
    <w:p>
      <w:pPr>
        <w:pStyle w:val="8"/>
        <w:ind w:firstLine="480"/>
        <w:rPr>
          <w:rFonts w:eastAsia="黑体"/>
          <w:sz w:val="24"/>
        </w:rPr>
      </w:pPr>
      <w:r>
        <w:rPr>
          <w:rFonts w:eastAsia="黑体"/>
          <w:sz w:val="24"/>
        </w:rPr>
        <w:t>3 氢气长管拖车的充装应设有止回阀、金属软管、充装接口等；</w:t>
      </w:r>
    </w:p>
    <w:p>
      <w:pPr>
        <w:pStyle w:val="8"/>
        <w:ind w:firstLine="480"/>
        <w:rPr>
          <w:rFonts w:ascii="宋体" w:hAnsi="宋体"/>
          <w:sz w:val="24"/>
        </w:rPr>
      </w:pPr>
      <w:r>
        <w:rPr>
          <w:rFonts w:ascii="宋体" w:hAnsi="宋体"/>
          <w:sz w:val="24"/>
        </w:rPr>
        <w:t xml:space="preserve">4 </w:t>
      </w:r>
      <w:r>
        <w:rPr>
          <w:rFonts w:hint="eastAsia" w:ascii="宋体" w:hAnsi="宋体"/>
          <w:sz w:val="24"/>
        </w:rPr>
        <w:t>氢气充装台、氢气集装格应设有分组切断阀、压力显示仪表；</w:t>
      </w:r>
    </w:p>
    <w:p>
      <w:pPr>
        <w:pStyle w:val="8"/>
        <w:ind w:left="560" w:firstLine="0" w:firstLineChars="0"/>
        <w:rPr>
          <w:rFonts w:eastAsia="黑体"/>
          <w:sz w:val="24"/>
        </w:rPr>
      </w:pPr>
      <w:r>
        <w:rPr>
          <w:rFonts w:eastAsia="黑体"/>
          <w:sz w:val="24"/>
        </w:rPr>
        <w:t>5 应设有</w:t>
      </w:r>
      <w:r>
        <w:rPr>
          <w:rFonts w:hint="eastAsia" w:eastAsia="黑体"/>
          <w:sz w:val="24"/>
        </w:rPr>
        <w:t>氮</w:t>
      </w:r>
      <w:r>
        <w:rPr>
          <w:rFonts w:eastAsia="黑体"/>
          <w:sz w:val="24"/>
        </w:rPr>
        <w:t>气置换、吹扫放空阀，放空管应接至室外安全处；</w:t>
      </w:r>
    </w:p>
    <w:p>
      <w:pPr>
        <w:pStyle w:val="8"/>
        <w:ind w:firstLine="570" w:firstLineChars="0"/>
        <w:rPr>
          <w:rFonts w:ascii="宋体" w:hAnsi="宋体"/>
          <w:sz w:val="24"/>
        </w:rPr>
      </w:pPr>
      <w:r>
        <w:rPr>
          <w:rFonts w:ascii="宋体" w:hAnsi="宋体"/>
          <w:sz w:val="24"/>
        </w:rPr>
        <w:t xml:space="preserve">6 </w:t>
      </w:r>
      <w:r>
        <w:rPr>
          <w:rFonts w:hint="eastAsia" w:ascii="宋体" w:hAnsi="宋体"/>
          <w:sz w:val="24"/>
        </w:rPr>
        <w:t>应设有气瓶内余气测试仪表；</w:t>
      </w:r>
    </w:p>
    <w:p>
      <w:pPr>
        <w:pStyle w:val="8"/>
        <w:ind w:firstLine="570" w:firstLineChars="0"/>
        <w:rPr>
          <w:rFonts w:eastAsia="黑体"/>
          <w:sz w:val="24"/>
        </w:rPr>
      </w:pPr>
      <w:r>
        <w:rPr>
          <w:rFonts w:hint="eastAsia" w:eastAsia="黑体"/>
          <w:sz w:val="24"/>
        </w:rPr>
        <w:t>7 水电解制氢系统的氢气充装系统应设有含氧量检测仪表；</w:t>
      </w:r>
    </w:p>
    <w:p>
      <w:pPr>
        <w:pStyle w:val="8"/>
        <w:ind w:firstLine="570" w:firstLineChars="0"/>
        <w:rPr>
          <w:rFonts w:eastAsia="黑体"/>
          <w:sz w:val="24"/>
        </w:rPr>
      </w:pPr>
      <w:r>
        <w:rPr>
          <w:rFonts w:hint="eastAsia"/>
          <w:sz w:val="24"/>
        </w:rPr>
        <w:t>8</w:t>
      </w:r>
      <w:r>
        <w:rPr>
          <w:sz w:val="24"/>
        </w:rPr>
        <w:t xml:space="preserve"> </w:t>
      </w:r>
      <w:r>
        <w:rPr>
          <w:rFonts w:hint="eastAsia"/>
          <w:sz w:val="24"/>
        </w:rPr>
        <w:t>宜设有氢气充装量的计量仪表。</w:t>
      </w:r>
    </w:p>
    <w:p>
      <w:pPr>
        <w:pStyle w:val="8"/>
        <w:ind w:firstLine="0" w:firstLineChars="0"/>
        <w:rPr>
          <w:rFonts w:eastAsia="黑体"/>
          <w:sz w:val="24"/>
        </w:rPr>
      </w:pPr>
      <w:r>
        <w:rPr>
          <w:rFonts w:eastAsia="黑体"/>
          <w:sz w:val="24"/>
        </w:rPr>
        <w:t>4.0.19  氢液化装置应设有液氢</w:t>
      </w:r>
      <w:r>
        <w:rPr>
          <w:rFonts w:hint="eastAsia" w:eastAsia="黑体"/>
          <w:sz w:val="24"/>
        </w:rPr>
        <w:t>灌</w:t>
      </w:r>
      <w:r>
        <w:rPr>
          <w:rFonts w:eastAsia="黑体"/>
          <w:sz w:val="24"/>
        </w:rPr>
        <w:t>装</w:t>
      </w:r>
      <w:r>
        <w:rPr>
          <w:rFonts w:hint="eastAsia" w:eastAsia="黑体"/>
          <w:sz w:val="24"/>
        </w:rPr>
        <w:t>系统</w:t>
      </w:r>
      <w:r>
        <w:rPr>
          <w:rFonts w:eastAsia="黑体"/>
          <w:sz w:val="24"/>
        </w:rPr>
        <w:t>，并应符合下列要求：</w:t>
      </w:r>
    </w:p>
    <w:p>
      <w:pPr>
        <w:pStyle w:val="8"/>
        <w:ind w:left="560" w:firstLine="0" w:firstLineChars="0"/>
        <w:rPr>
          <w:rFonts w:eastAsia="黑体"/>
          <w:sz w:val="24"/>
        </w:rPr>
      </w:pPr>
      <w:r>
        <w:rPr>
          <w:rFonts w:eastAsia="黑体"/>
          <w:sz w:val="24"/>
        </w:rPr>
        <w:t>1液氢</w:t>
      </w:r>
      <w:r>
        <w:rPr>
          <w:rFonts w:hint="eastAsia" w:eastAsia="黑体"/>
          <w:sz w:val="24"/>
        </w:rPr>
        <w:t>灌</w:t>
      </w:r>
      <w:r>
        <w:rPr>
          <w:rFonts w:eastAsia="黑体"/>
          <w:sz w:val="24"/>
        </w:rPr>
        <w:t>装管道应具备良好的绝热性能；</w:t>
      </w:r>
    </w:p>
    <w:p>
      <w:pPr>
        <w:pStyle w:val="8"/>
        <w:ind w:left="560" w:firstLine="0" w:firstLineChars="0"/>
        <w:rPr>
          <w:rFonts w:eastAsia="黑体"/>
          <w:sz w:val="24"/>
        </w:rPr>
      </w:pPr>
      <w:r>
        <w:rPr>
          <w:rFonts w:eastAsia="黑体"/>
          <w:sz w:val="24"/>
        </w:rPr>
        <w:t>2液氢管道上任意两个可同时关断的阀门之间应设置安全阀；</w:t>
      </w:r>
    </w:p>
    <w:p>
      <w:pPr>
        <w:pStyle w:val="8"/>
        <w:ind w:left="560" w:firstLine="0" w:firstLineChars="0"/>
        <w:rPr>
          <w:rFonts w:eastAsia="黑体"/>
          <w:sz w:val="24"/>
        </w:rPr>
      </w:pPr>
      <w:r>
        <w:rPr>
          <w:rFonts w:eastAsia="黑体"/>
          <w:sz w:val="24"/>
        </w:rPr>
        <w:t>3液氢</w:t>
      </w:r>
      <w:r>
        <w:rPr>
          <w:rFonts w:hint="eastAsia" w:eastAsia="黑体"/>
          <w:sz w:val="24"/>
        </w:rPr>
        <w:t>灌</w:t>
      </w:r>
      <w:r>
        <w:rPr>
          <w:rFonts w:eastAsia="黑体"/>
          <w:sz w:val="24"/>
        </w:rPr>
        <w:t>装连接管道上应设置惰性气体和氢气吹除置换口，管道连接后，应可进行吹除置换，确保空气、氮气等杂质不进入被充装容器；</w:t>
      </w:r>
    </w:p>
    <w:p>
      <w:pPr>
        <w:pStyle w:val="8"/>
        <w:ind w:firstLine="570" w:firstLineChars="0"/>
        <w:rPr>
          <w:sz w:val="24"/>
        </w:rPr>
      </w:pPr>
      <w:r>
        <w:rPr>
          <w:sz w:val="24"/>
        </w:rPr>
        <w:t xml:space="preserve">4液氢充装点处，槽车放气阀可与放空管道连接； </w:t>
      </w:r>
    </w:p>
    <w:p>
      <w:pPr>
        <w:pStyle w:val="8"/>
        <w:ind w:left="560" w:firstLine="0" w:firstLineChars="0"/>
        <w:rPr>
          <w:rFonts w:eastAsia="黑体"/>
          <w:sz w:val="24"/>
        </w:rPr>
      </w:pPr>
      <w:r>
        <w:rPr>
          <w:rFonts w:eastAsia="黑体"/>
          <w:sz w:val="24"/>
        </w:rPr>
        <w:t>5</w:t>
      </w:r>
      <w:r>
        <w:rPr>
          <w:rFonts w:hint="eastAsia" w:eastAsia="黑体"/>
          <w:sz w:val="24"/>
        </w:rPr>
        <w:t>灌</w:t>
      </w:r>
      <w:r>
        <w:rPr>
          <w:rFonts w:eastAsia="黑体"/>
          <w:sz w:val="24"/>
        </w:rPr>
        <w:t>装设施应设置远程紧急关断阀门；</w:t>
      </w:r>
    </w:p>
    <w:p>
      <w:pPr>
        <w:pStyle w:val="8"/>
        <w:ind w:left="560" w:firstLine="0" w:firstLineChars="0"/>
        <w:rPr>
          <w:rFonts w:eastAsia="黑体"/>
          <w:sz w:val="24"/>
        </w:rPr>
      </w:pPr>
      <w:r>
        <w:rPr>
          <w:rFonts w:eastAsia="黑体"/>
          <w:sz w:val="24"/>
        </w:rPr>
        <w:t>6液氢</w:t>
      </w:r>
      <w:r>
        <w:rPr>
          <w:rFonts w:hint="eastAsia" w:eastAsia="黑体"/>
          <w:sz w:val="24"/>
        </w:rPr>
        <w:t>灌</w:t>
      </w:r>
      <w:r>
        <w:rPr>
          <w:rFonts w:eastAsia="黑体"/>
          <w:sz w:val="24"/>
        </w:rPr>
        <w:t>装站应具备流量或</w:t>
      </w:r>
      <w:r>
        <w:rPr>
          <w:rFonts w:hint="eastAsia" w:eastAsia="黑体"/>
          <w:sz w:val="24"/>
        </w:rPr>
        <w:t>灌</w:t>
      </w:r>
      <w:r>
        <w:rPr>
          <w:rFonts w:eastAsia="黑体"/>
          <w:sz w:val="24"/>
        </w:rPr>
        <w:t>装量计量的手段。</w:t>
      </w:r>
    </w:p>
    <w:p>
      <w:pPr>
        <w:pStyle w:val="8"/>
        <w:ind w:firstLine="0" w:firstLineChars="0"/>
        <w:rPr>
          <w:rFonts w:eastAsia="黑体"/>
          <w:sz w:val="24"/>
        </w:rPr>
      </w:pPr>
      <w:r>
        <w:rPr>
          <w:rFonts w:eastAsia="黑体"/>
          <w:sz w:val="24"/>
        </w:rPr>
        <w:t>4.0.20  各类制氢系统中，设备及其管道内的冷凝水，均应经各自的专用疏水装置或排水水封排至室外。水封上的气体放空管，应分别接至室外安全处。</w:t>
      </w:r>
    </w:p>
    <w:p>
      <w:pPr>
        <w:pStyle w:val="8"/>
        <w:ind w:firstLine="0" w:firstLineChars="0"/>
        <w:rPr>
          <w:sz w:val="24"/>
        </w:rPr>
      </w:pPr>
      <w:r>
        <w:rPr>
          <w:rFonts w:eastAsia="黑体"/>
          <w:sz w:val="24"/>
        </w:rPr>
        <w:t>4.0.21</w:t>
      </w:r>
      <w:r>
        <w:rPr>
          <w:sz w:val="24"/>
        </w:rPr>
        <w:t xml:space="preserve">  当用氢设备对氢气含尘量有要求时，应在送氢管道上设置相应精度的气体过滤器。</w:t>
      </w:r>
    </w:p>
    <w:p>
      <w:pPr>
        <w:pStyle w:val="8"/>
        <w:ind w:firstLine="0" w:firstLineChars="0"/>
        <w:rPr>
          <w:rFonts w:eastAsia="黑体"/>
          <w:sz w:val="24"/>
        </w:rPr>
      </w:pPr>
      <w:r>
        <w:rPr>
          <w:rFonts w:eastAsia="黑体"/>
          <w:sz w:val="24"/>
        </w:rPr>
        <w:t>4.0.22  各类制氢系统、供氢系统均应设有氮气吹扫置换设施，吹扫置换氮气中的含氧量应小于0.5%。</w:t>
      </w:r>
    </w:p>
    <w:p>
      <w:pPr>
        <w:pStyle w:val="8"/>
        <w:ind w:firstLine="0" w:firstLineChars="0"/>
        <w:rPr>
          <w:sz w:val="24"/>
        </w:rPr>
      </w:pPr>
      <w:r>
        <w:rPr>
          <w:sz w:val="24"/>
        </w:rPr>
        <w:t xml:space="preserve">   </w:t>
      </w:r>
    </w:p>
    <w:p>
      <w:pPr>
        <w:pStyle w:val="8"/>
        <w:ind w:firstLine="0" w:firstLineChars="0"/>
      </w:pPr>
    </w:p>
    <w:p>
      <w:pPr>
        <w:pStyle w:val="8"/>
        <w:ind w:firstLine="0" w:firstLineChars="0"/>
        <w:jc w:val="center"/>
        <w:outlineLvl w:val="0"/>
        <w:rPr>
          <w:sz w:val="30"/>
        </w:rPr>
      </w:pPr>
      <w:r>
        <w:br w:type="page"/>
      </w:r>
      <w:bookmarkStart w:id="9" w:name="_Toc108940932"/>
      <w:r>
        <w:rPr>
          <w:sz w:val="30"/>
        </w:rPr>
        <w:t>5 设备选择</w:t>
      </w:r>
      <w:bookmarkEnd w:id="9"/>
    </w:p>
    <w:p>
      <w:pPr>
        <w:pStyle w:val="8"/>
        <w:ind w:firstLine="570" w:firstLineChars="0"/>
        <w:rPr>
          <w:strike/>
        </w:rPr>
      </w:pPr>
    </w:p>
    <w:p>
      <w:pPr>
        <w:pStyle w:val="8"/>
        <w:ind w:firstLine="0" w:firstLineChars="0"/>
        <w:rPr>
          <w:sz w:val="24"/>
        </w:rPr>
      </w:pPr>
      <w:r>
        <w:rPr>
          <w:rFonts w:eastAsia="黑体"/>
          <w:sz w:val="24"/>
        </w:rPr>
        <w:t>5.0.1</w:t>
      </w:r>
      <w:r>
        <w:rPr>
          <w:sz w:val="24"/>
        </w:rPr>
        <w:t xml:space="preserve">  氢气站、供氢站的设计容量，应根据氢气的用途、使用特点，宜按下列因素确定：</w:t>
      </w:r>
    </w:p>
    <w:p>
      <w:pPr>
        <w:pStyle w:val="8"/>
        <w:ind w:firstLine="570" w:firstLineChars="0"/>
        <w:rPr>
          <w:sz w:val="24"/>
        </w:rPr>
      </w:pPr>
      <w:r>
        <w:rPr>
          <w:sz w:val="24"/>
        </w:rPr>
        <w:t>1各类用氢设备的昼夜平均小时耗量或班平均小时耗量；</w:t>
      </w:r>
    </w:p>
    <w:p>
      <w:pPr>
        <w:pStyle w:val="8"/>
        <w:ind w:firstLine="570" w:firstLineChars="0"/>
        <w:rPr>
          <w:sz w:val="24"/>
        </w:rPr>
      </w:pPr>
      <w:r>
        <w:rPr>
          <w:sz w:val="24"/>
        </w:rPr>
        <w:t>2连续用氢设备的最大小时耗量与其余用氢设备的昼夜平均小时耗量或班平均小时耗量之和；</w:t>
      </w:r>
    </w:p>
    <w:p>
      <w:pPr>
        <w:pStyle w:val="8"/>
        <w:ind w:firstLine="570" w:firstLineChars="0"/>
        <w:rPr>
          <w:sz w:val="24"/>
        </w:rPr>
      </w:pPr>
      <w:r>
        <w:rPr>
          <w:sz w:val="24"/>
        </w:rPr>
        <w:t>3</w:t>
      </w:r>
      <w:r>
        <w:rPr>
          <w:rFonts w:hint="eastAsia"/>
          <w:sz w:val="24"/>
        </w:rPr>
        <w:t>外供、</w:t>
      </w:r>
      <w:r>
        <w:rPr>
          <w:sz w:val="24"/>
        </w:rPr>
        <w:t>外销氢气的氢气站、供氢站，应根据外供</w:t>
      </w:r>
      <w:r>
        <w:rPr>
          <w:rFonts w:hint="eastAsia"/>
          <w:sz w:val="24"/>
        </w:rPr>
        <w:t>、外销的</w:t>
      </w:r>
      <w:r>
        <w:rPr>
          <w:sz w:val="24"/>
        </w:rPr>
        <w:t>氢气量或市场需求状况和经济规模等确定。</w:t>
      </w:r>
    </w:p>
    <w:p>
      <w:pPr>
        <w:pStyle w:val="8"/>
        <w:ind w:firstLine="0" w:firstLineChars="0"/>
        <w:rPr>
          <w:sz w:val="24"/>
        </w:rPr>
      </w:pPr>
      <w:r>
        <w:rPr>
          <w:rFonts w:eastAsia="黑体"/>
          <w:sz w:val="24"/>
        </w:rPr>
        <w:t>5.0.2</w:t>
      </w:r>
      <w:r>
        <w:rPr>
          <w:sz w:val="24"/>
        </w:rPr>
        <w:t xml:space="preserve">  水电解制氢装置的型号、容量和台数，应根据下列因素经技术经济比较后确定：</w:t>
      </w:r>
    </w:p>
    <w:p>
      <w:pPr>
        <w:pStyle w:val="8"/>
        <w:ind w:firstLineChars="0"/>
        <w:rPr>
          <w:sz w:val="24"/>
        </w:rPr>
      </w:pPr>
      <w:r>
        <w:rPr>
          <w:sz w:val="24"/>
        </w:rPr>
        <w:t>1根据氢气耗量、使用特点等合理选用电耗小、电解小室电压低、价格合理、性能优良的水电解制氢装置；</w:t>
      </w:r>
    </w:p>
    <w:p>
      <w:pPr>
        <w:pStyle w:val="8"/>
        <w:ind w:firstLineChars="0"/>
        <w:rPr>
          <w:sz w:val="24"/>
        </w:rPr>
      </w:pPr>
      <w:r>
        <w:rPr>
          <w:sz w:val="24"/>
        </w:rPr>
        <w:t>2水电解制氢装置宜设备用装置，当采取储气等措施确保不中断供气或与用气设备同步检修时，可不设备用装置；</w:t>
      </w:r>
    </w:p>
    <w:p>
      <w:pPr>
        <w:pStyle w:val="8"/>
        <w:ind w:firstLineChars="0"/>
        <w:rPr>
          <w:sz w:val="24"/>
        </w:rPr>
      </w:pPr>
      <w:r>
        <w:rPr>
          <w:sz w:val="24"/>
        </w:rPr>
        <w:t>3当氢气站的供电电源波动或不连续时宜优先采用PEM水电解制氢装置。</w:t>
      </w:r>
    </w:p>
    <w:p>
      <w:pPr>
        <w:pStyle w:val="8"/>
        <w:ind w:firstLine="0" w:firstLineChars="0"/>
        <w:rPr>
          <w:sz w:val="24"/>
        </w:rPr>
      </w:pPr>
      <w:r>
        <w:rPr>
          <w:rFonts w:eastAsia="黑体"/>
          <w:sz w:val="24"/>
        </w:rPr>
        <w:t>5.0.3</w:t>
      </w:r>
      <w:r>
        <w:rPr>
          <w:sz w:val="24"/>
        </w:rPr>
        <w:t xml:space="preserve">  水电解制氢装置所需的原料水制备、碱液制备等辅助设备，宜按下列要求选用：</w:t>
      </w:r>
    </w:p>
    <w:p>
      <w:pPr>
        <w:pStyle w:val="8"/>
        <w:ind w:firstLineChars="0"/>
        <w:rPr>
          <w:sz w:val="24"/>
        </w:rPr>
      </w:pPr>
      <w:r>
        <w:rPr>
          <w:sz w:val="24"/>
        </w:rPr>
        <w:t>1原料水制取装置的容量，</w:t>
      </w:r>
      <w:r>
        <w:rPr>
          <w:rFonts w:hint="eastAsia"/>
          <w:sz w:val="24"/>
        </w:rPr>
        <w:t>应</w:t>
      </w:r>
      <w:r>
        <w:rPr>
          <w:sz w:val="24"/>
        </w:rPr>
        <w:t>不小于4h原料水耗量；原料水储水箱容积</w:t>
      </w:r>
      <w:r>
        <w:rPr>
          <w:rFonts w:hint="eastAsia"/>
          <w:sz w:val="24"/>
        </w:rPr>
        <w:t>宜</w:t>
      </w:r>
      <w:r>
        <w:rPr>
          <w:sz w:val="24"/>
        </w:rPr>
        <w:t>不小于8h原料水耗量；原料水泵供水压力，</w:t>
      </w:r>
      <w:r>
        <w:rPr>
          <w:rFonts w:hint="eastAsia"/>
          <w:sz w:val="24"/>
        </w:rPr>
        <w:t>应</w:t>
      </w:r>
      <w:r>
        <w:rPr>
          <w:sz w:val="24"/>
        </w:rPr>
        <w:t>大于制氢装置工作压力。</w:t>
      </w:r>
    </w:p>
    <w:p>
      <w:pPr>
        <w:pStyle w:val="8"/>
        <w:ind w:firstLineChars="0"/>
        <w:rPr>
          <w:sz w:val="24"/>
        </w:rPr>
      </w:pPr>
      <w:r>
        <w:rPr>
          <w:sz w:val="24"/>
        </w:rPr>
        <w:t>2原料水制取装置、储水箱及其水泵的材质，</w:t>
      </w:r>
      <w:r>
        <w:rPr>
          <w:rFonts w:hint="eastAsia"/>
          <w:sz w:val="24"/>
        </w:rPr>
        <w:t>应</w:t>
      </w:r>
      <w:r>
        <w:rPr>
          <w:sz w:val="24"/>
        </w:rPr>
        <w:t>采用不污染原料水水质和耐腐蚀的材料制作。</w:t>
      </w:r>
    </w:p>
    <w:p>
      <w:pPr>
        <w:pStyle w:val="8"/>
        <w:ind w:firstLineChars="0"/>
        <w:rPr>
          <w:sz w:val="24"/>
        </w:rPr>
      </w:pPr>
      <w:r>
        <w:rPr>
          <w:sz w:val="24"/>
        </w:rPr>
        <w:t>3碱性水电解制氢装置的碱液箱容积，</w:t>
      </w:r>
      <w:r>
        <w:rPr>
          <w:rFonts w:hint="eastAsia"/>
          <w:sz w:val="24"/>
        </w:rPr>
        <w:t>应</w:t>
      </w:r>
      <w:r>
        <w:rPr>
          <w:sz w:val="24"/>
        </w:rPr>
        <w:t>大于每套水电解制氢装置及碱液管道的全部容积之和；碱液泵的流量，可按每套水电解制氢装置所需碱液量和注</w:t>
      </w:r>
      <w:r>
        <w:rPr>
          <w:rFonts w:hint="eastAsia"/>
          <w:sz w:val="24"/>
        </w:rPr>
        <w:t>入的</w:t>
      </w:r>
      <w:r>
        <w:rPr>
          <w:sz w:val="24"/>
        </w:rPr>
        <w:t>时间确定。</w:t>
      </w:r>
    </w:p>
    <w:p>
      <w:pPr>
        <w:pStyle w:val="8"/>
        <w:ind w:firstLine="0" w:firstLineChars="0"/>
        <w:rPr>
          <w:sz w:val="24"/>
        </w:rPr>
      </w:pPr>
      <w:r>
        <w:rPr>
          <w:rFonts w:eastAsia="黑体"/>
          <w:sz w:val="24"/>
        </w:rPr>
        <w:t>5.0.4</w:t>
      </w:r>
      <w:r>
        <w:rPr>
          <w:sz w:val="24"/>
        </w:rPr>
        <w:t xml:space="preserve">  变压吸附提纯氢系统的吸附器组的容量和吸附器数量，应根据下列因素经技术经济比较后确定：</w:t>
      </w:r>
    </w:p>
    <w:p>
      <w:pPr>
        <w:pStyle w:val="8"/>
        <w:ind w:firstLineChars="0"/>
        <w:rPr>
          <w:sz w:val="24"/>
        </w:rPr>
      </w:pPr>
      <w:r>
        <w:rPr>
          <w:sz w:val="24"/>
        </w:rPr>
        <w:t>1原料气的压力、组成和产品氢气的纯度、杂质含量、压力；</w:t>
      </w:r>
    </w:p>
    <w:p>
      <w:pPr>
        <w:pStyle w:val="8"/>
        <w:ind w:firstLineChars="0"/>
        <w:rPr>
          <w:sz w:val="24"/>
        </w:rPr>
      </w:pPr>
      <w:r>
        <w:rPr>
          <w:sz w:val="24"/>
        </w:rPr>
        <w:t>2产品氢气的耗量和用氢特点；</w:t>
      </w:r>
    </w:p>
    <w:p>
      <w:pPr>
        <w:pStyle w:val="8"/>
        <w:ind w:firstLineChars="0"/>
        <w:rPr>
          <w:sz w:val="24"/>
        </w:rPr>
      </w:pPr>
      <w:r>
        <w:rPr>
          <w:sz w:val="24"/>
        </w:rPr>
        <w:t>3氢气回收率。</w:t>
      </w:r>
    </w:p>
    <w:p>
      <w:pPr>
        <w:pStyle w:val="8"/>
        <w:ind w:firstLine="0" w:firstLineChars="0"/>
        <w:rPr>
          <w:sz w:val="24"/>
        </w:rPr>
      </w:pPr>
      <w:r>
        <w:rPr>
          <w:rFonts w:eastAsia="黑体"/>
          <w:sz w:val="24"/>
        </w:rPr>
        <w:t>5.0.5</w:t>
      </w:r>
      <w:r>
        <w:rPr>
          <w:sz w:val="24"/>
        </w:rPr>
        <w:t xml:space="preserve">  煤气化制氢系统的设备配置，应按下列因素确定：</w:t>
      </w:r>
    </w:p>
    <w:p>
      <w:pPr>
        <w:pStyle w:val="8"/>
        <w:ind w:firstLine="570" w:firstLineChars="0"/>
        <w:rPr>
          <w:sz w:val="24"/>
        </w:rPr>
      </w:pPr>
      <w:r>
        <w:rPr>
          <w:sz w:val="24"/>
        </w:rPr>
        <w:t>1煤气化装置气化气体的组分、杂质含量和压力；</w:t>
      </w:r>
    </w:p>
    <w:p>
      <w:pPr>
        <w:pStyle w:val="8"/>
        <w:ind w:firstLine="570" w:firstLineChars="0"/>
        <w:rPr>
          <w:sz w:val="24"/>
        </w:rPr>
      </w:pPr>
      <w:r>
        <w:rPr>
          <w:sz w:val="24"/>
        </w:rPr>
        <w:t>2产品氢气的纯度、杂质含量、压力和用氢特点等；</w:t>
      </w:r>
    </w:p>
    <w:p>
      <w:pPr>
        <w:pStyle w:val="8"/>
        <w:ind w:firstLine="570" w:firstLineChars="0"/>
        <w:rPr>
          <w:sz w:val="24"/>
        </w:rPr>
      </w:pPr>
      <w:r>
        <w:rPr>
          <w:sz w:val="24"/>
        </w:rPr>
        <w:t>3根据规模和降低能耗、制氢成本等要求，合理配置变换、提纯装置；</w:t>
      </w:r>
    </w:p>
    <w:p>
      <w:pPr>
        <w:pStyle w:val="8"/>
        <w:ind w:firstLine="570" w:firstLineChars="0"/>
        <w:rPr>
          <w:sz w:val="24"/>
        </w:rPr>
      </w:pPr>
      <w:r>
        <w:rPr>
          <w:sz w:val="24"/>
        </w:rPr>
        <w:t>4氢气回收率。</w:t>
      </w:r>
    </w:p>
    <w:p>
      <w:pPr>
        <w:pStyle w:val="8"/>
        <w:ind w:firstLine="0" w:firstLineChars="0"/>
        <w:rPr>
          <w:kern w:val="0"/>
          <w:sz w:val="24"/>
        </w:rPr>
      </w:pPr>
      <w:r>
        <w:rPr>
          <w:rFonts w:eastAsia="黑体"/>
          <w:sz w:val="24"/>
        </w:rPr>
        <w:t>5.0.6</w:t>
      </w:r>
      <w:r>
        <w:rPr>
          <w:sz w:val="24"/>
        </w:rPr>
        <w:t xml:space="preserve">  </w:t>
      </w:r>
      <w:r>
        <w:rPr>
          <w:kern w:val="0"/>
          <w:sz w:val="24"/>
        </w:rPr>
        <w:t>天然气转化制氢系统的设备配置应按下列因素确定：</w:t>
      </w:r>
    </w:p>
    <w:p>
      <w:pPr>
        <w:pStyle w:val="8"/>
        <w:ind w:firstLine="570" w:firstLineChars="0"/>
        <w:rPr>
          <w:sz w:val="24"/>
        </w:rPr>
      </w:pPr>
      <w:r>
        <w:rPr>
          <w:sz w:val="24"/>
        </w:rPr>
        <w:t>1天然气的组分、杂质含量和压力；</w:t>
      </w:r>
    </w:p>
    <w:p>
      <w:pPr>
        <w:pStyle w:val="8"/>
        <w:ind w:firstLine="570" w:firstLineChars="0"/>
        <w:rPr>
          <w:sz w:val="24"/>
        </w:rPr>
      </w:pPr>
      <w:r>
        <w:rPr>
          <w:sz w:val="24"/>
        </w:rPr>
        <w:t>2产品氢气的耗量、纯度、杂质含量、压力和用氢特点；</w:t>
      </w:r>
    </w:p>
    <w:p>
      <w:pPr>
        <w:pStyle w:val="8"/>
        <w:ind w:firstLine="570" w:firstLineChars="0"/>
        <w:rPr>
          <w:sz w:val="24"/>
        </w:rPr>
      </w:pPr>
      <w:r>
        <w:rPr>
          <w:sz w:val="24"/>
        </w:rPr>
        <w:t>3根据规模、工艺流程、降低能耗和氢气成本等要求，合理配置转化炉、变换、提纯装置；</w:t>
      </w:r>
    </w:p>
    <w:p>
      <w:pPr>
        <w:pStyle w:val="8"/>
        <w:ind w:firstLine="570" w:firstLineChars="0"/>
        <w:rPr>
          <w:sz w:val="24"/>
        </w:rPr>
      </w:pPr>
      <w:r>
        <w:rPr>
          <w:sz w:val="24"/>
        </w:rPr>
        <w:t>4氢气回收率。</w:t>
      </w:r>
    </w:p>
    <w:p>
      <w:pPr>
        <w:pStyle w:val="8"/>
        <w:ind w:firstLine="0" w:firstLineChars="0"/>
        <w:rPr>
          <w:sz w:val="24"/>
        </w:rPr>
      </w:pPr>
      <w:r>
        <w:rPr>
          <w:rFonts w:eastAsia="黑体"/>
          <w:sz w:val="24"/>
        </w:rPr>
        <w:t xml:space="preserve">5.0.7  </w:t>
      </w:r>
      <w:r>
        <w:rPr>
          <w:sz w:val="24"/>
        </w:rPr>
        <w:t>甲醇</w:t>
      </w:r>
      <w:r>
        <w:rPr>
          <w:rFonts w:hint="eastAsia"/>
          <w:sz w:val="24"/>
        </w:rPr>
        <w:t>蒸汽</w:t>
      </w:r>
      <w:r>
        <w:rPr>
          <w:sz w:val="24"/>
        </w:rPr>
        <w:t>转化制氢系统的设备配置，应按下列因素确定：</w:t>
      </w:r>
    </w:p>
    <w:p>
      <w:pPr>
        <w:pStyle w:val="8"/>
        <w:ind w:firstLine="570" w:firstLineChars="0"/>
        <w:rPr>
          <w:sz w:val="24"/>
        </w:rPr>
      </w:pPr>
      <w:r>
        <w:rPr>
          <w:sz w:val="24"/>
        </w:rPr>
        <w:t>1产品氢气的耗量、纯度、杂质含量、压力和用氢特点；</w:t>
      </w:r>
    </w:p>
    <w:p>
      <w:pPr>
        <w:pStyle w:val="8"/>
        <w:ind w:firstLine="570" w:firstLineChars="0"/>
        <w:rPr>
          <w:sz w:val="24"/>
        </w:rPr>
      </w:pPr>
      <w:r>
        <w:rPr>
          <w:sz w:val="24"/>
        </w:rPr>
        <w:t>2根据规模、工艺流程和节能等要求，合理配置转化反应器、各类换热器、气液分离设备等；</w:t>
      </w:r>
    </w:p>
    <w:p>
      <w:pPr>
        <w:pStyle w:val="8"/>
        <w:ind w:firstLine="570" w:firstLineChars="0"/>
        <w:rPr>
          <w:sz w:val="24"/>
        </w:rPr>
      </w:pPr>
      <w:r>
        <w:rPr>
          <w:sz w:val="24"/>
        </w:rPr>
        <w:t>3氢气回收率。</w:t>
      </w:r>
    </w:p>
    <w:p>
      <w:pPr>
        <w:pStyle w:val="8"/>
        <w:ind w:firstLine="0" w:firstLineChars="0"/>
        <w:rPr>
          <w:sz w:val="24"/>
        </w:rPr>
      </w:pPr>
      <w:r>
        <w:rPr>
          <w:rFonts w:eastAsia="黑体"/>
          <w:sz w:val="24"/>
        </w:rPr>
        <w:t>5.0.8</w:t>
      </w:r>
      <w:r>
        <w:rPr>
          <w:sz w:val="24"/>
        </w:rPr>
        <w:t xml:space="preserve">  氢气储存容量，应根据下列因素经</w:t>
      </w:r>
      <w:r>
        <w:rPr>
          <w:rFonts w:hint="eastAsia"/>
          <w:sz w:val="24"/>
        </w:rPr>
        <w:t>综合</w:t>
      </w:r>
      <w:r>
        <w:rPr>
          <w:sz w:val="24"/>
        </w:rPr>
        <w:t>比较后确定：</w:t>
      </w:r>
    </w:p>
    <w:p>
      <w:pPr>
        <w:pStyle w:val="8"/>
        <w:ind w:firstLine="570" w:firstLineChars="0"/>
        <w:rPr>
          <w:sz w:val="24"/>
        </w:rPr>
      </w:pPr>
      <w:r>
        <w:rPr>
          <w:sz w:val="24"/>
        </w:rPr>
        <w:t>1 氢气、供氢规模和氢气使用特性</w:t>
      </w:r>
      <w:r>
        <w:rPr>
          <w:rFonts w:hint="eastAsia"/>
          <w:sz w:val="24"/>
        </w:rPr>
        <w:t>、</w:t>
      </w:r>
      <w:r>
        <w:rPr>
          <w:sz w:val="24"/>
        </w:rPr>
        <w:t>技术参数以及变化状况；</w:t>
      </w:r>
    </w:p>
    <w:p>
      <w:pPr>
        <w:pStyle w:val="8"/>
        <w:ind w:firstLine="480"/>
        <w:rPr>
          <w:sz w:val="24"/>
        </w:rPr>
      </w:pPr>
      <w:r>
        <w:rPr>
          <w:sz w:val="24"/>
        </w:rPr>
        <w:t>2 氢气站</w:t>
      </w:r>
      <w:r>
        <w:rPr>
          <w:rFonts w:hint="eastAsia"/>
          <w:sz w:val="24"/>
        </w:rPr>
        <w:t>、</w:t>
      </w:r>
      <w:r>
        <w:rPr>
          <w:sz w:val="24"/>
        </w:rPr>
        <w:t>供氢站的电源</w:t>
      </w:r>
      <w:r>
        <w:rPr>
          <w:rFonts w:hint="eastAsia"/>
          <w:sz w:val="24"/>
        </w:rPr>
        <w:t>、</w:t>
      </w:r>
      <w:r>
        <w:rPr>
          <w:sz w:val="24"/>
        </w:rPr>
        <w:t>气源及变化状况</w:t>
      </w:r>
      <w:r>
        <w:rPr>
          <w:rFonts w:hint="eastAsia"/>
          <w:sz w:val="24"/>
        </w:rPr>
        <w:t>；</w:t>
      </w:r>
    </w:p>
    <w:p>
      <w:pPr>
        <w:pStyle w:val="8"/>
        <w:ind w:firstLine="480"/>
        <w:rPr>
          <w:sz w:val="24"/>
        </w:rPr>
      </w:pPr>
      <w:r>
        <w:rPr>
          <w:rFonts w:hint="eastAsia"/>
          <w:sz w:val="24"/>
        </w:rPr>
        <w:t xml:space="preserve">3 </w:t>
      </w:r>
      <w:r>
        <w:rPr>
          <w:sz w:val="24"/>
        </w:rPr>
        <w:t>储氢系统输入压力、供氢压力；</w:t>
      </w:r>
    </w:p>
    <w:p>
      <w:pPr>
        <w:pStyle w:val="8"/>
        <w:ind w:firstLine="480"/>
        <w:rPr>
          <w:sz w:val="24"/>
        </w:rPr>
      </w:pPr>
      <w:r>
        <w:rPr>
          <w:rFonts w:hint="eastAsia"/>
          <w:sz w:val="24"/>
        </w:rPr>
        <w:t>4 制氢、供氢系统的氢气压缩机配置状况；</w:t>
      </w:r>
    </w:p>
    <w:p>
      <w:pPr>
        <w:pStyle w:val="8"/>
        <w:ind w:firstLine="480"/>
        <w:rPr>
          <w:sz w:val="24"/>
        </w:rPr>
      </w:pPr>
      <w:r>
        <w:rPr>
          <w:sz w:val="24"/>
        </w:rPr>
        <w:t>5 现场工作条件。</w:t>
      </w:r>
    </w:p>
    <w:p>
      <w:pPr>
        <w:pStyle w:val="8"/>
        <w:ind w:firstLine="0" w:firstLineChars="0"/>
        <w:rPr>
          <w:sz w:val="24"/>
        </w:rPr>
      </w:pPr>
      <w:r>
        <w:rPr>
          <w:rFonts w:eastAsia="黑体"/>
          <w:sz w:val="24"/>
        </w:rPr>
        <w:t>5.0.9</w:t>
      </w:r>
      <w:r>
        <w:rPr>
          <w:sz w:val="24"/>
        </w:rPr>
        <w:t xml:space="preserve">  氢气储存压力容器的形式，应根据所需氢气储存容量、压力状况确定</w:t>
      </w:r>
      <w:r>
        <w:rPr>
          <w:rFonts w:hint="eastAsia"/>
          <w:sz w:val="24"/>
        </w:rPr>
        <w:t>，</w:t>
      </w:r>
      <w:r>
        <w:rPr>
          <w:sz w:val="24"/>
        </w:rPr>
        <w:t>并应符合下列规定</w:t>
      </w:r>
      <w:r>
        <w:rPr>
          <w:rFonts w:hint="eastAsia"/>
          <w:sz w:val="24"/>
        </w:rPr>
        <w:t>：</w:t>
      </w:r>
    </w:p>
    <w:p>
      <w:pPr>
        <w:pStyle w:val="8"/>
        <w:ind w:firstLine="480"/>
        <w:rPr>
          <w:sz w:val="24"/>
        </w:rPr>
      </w:pPr>
      <w:r>
        <w:rPr>
          <w:rFonts w:hint="eastAsia"/>
          <w:sz w:val="24"/>
        </w:rPr>
        <w:t>1</w:t>
      </w:r>
      <w:r>
        <w:rPr>
          <w:sz w:val="24"/>
        </w:rPr>
        <w:t xml:space="preserve"> 当氢气压力小于6</w:t>
      </w:r>
      <w:r>
        <w:rPr>
          <w:sz w:val="24"/>
          <w:lang w:val="en-GB"/>
        </w:rPr>
        <w:t>kP</w:t>
      </w:r>
      <w:r>
        <w:rPr>
          <w:sz w:val="24"/>
        </w:rPr>
        <w:t>a时，应选用湿式储气罐；</w:t>
      </w:r>
    </w:p>
    <w:p>
      <w:pPr>
        <w:pStyle w:val="8"/>
        <w:ind w:firstLine="480"/>
        <w:rPr>
          <w:sz w:val="24"/>
        </w:rPr>
      </w:pPr>
      <w:r>
        <w:rPr>
          <w:sz w:val="24"/>
        </w:rPr>
        <w:t>2 氢气储存压力为中、低压，</w:t>
      </w:r>
      <w:r>
        <w:rPr>
          <w:sz w:val="24"/>
          <w:lang w:val="en-GB"/>
        </w:rPr>
        <w:t>单罐</w:t>
      </w:r>
      <w:r>
        <w:rPr>
          <w:rFonts w:hint="eastAsia"/>
          <w:sz w:val="24"/>
        </w:rPr>
        <w:t>氢气储量</w:t>
      </w:r>
      <w:r>
        <w:rPr>
          <w:sz w:val="24"/>
        </w:rPr>
        <w:t>大于或等于10000Nm</w:t>
      </w:r>
      <w:r>
        <w:rPr>
          <w:sz w:val="24"/>
          <w:vertAlign w:val="superscript"/>
        </w:rPr>
        <w:t>3</w:t>
      </w:r>
      <w:r>
        <w:rPr>
          <w:sz w:val="24"/>
        </w:rPr>
        <w:t>时</w:t>
      </w:r>
      <w:r>
        <w:rPr>
          <w:rFonts w:hint="eastAsia"/>
          <w:sz w:val="24"/>
        </w:rPr>
        <w:t>，</w:t>
      </w:r>
      <w:r>
        <w:rPr>
          <w:sz w:val="24"/>
        </w:rPr>
        <w:t>宜采用球形储罐</w:t>
      </w:r>
      <w:r>
        <w:rPr>
          <w:rFonts w:hint="eastAsia"/>
          <w:sz w:val="24"/>
        </w:rPr>
        <w:t>；</w:t>
      </w:r>
    </w:p>
    <w:p>
      <w:pPr>
        <w:pStyle w:val="8"/>
        <w:ind w:firstLine="480"/>
        <w:rPr>
          <w:sz w:val="24"/>
        </w:rPr>
      </w:pPr>
      <w:r>
        <w:rPr>
          <w:sz w:val="24"/>
        </w:rPr>
        <w:t>3 氢气储存压力为中</w:t>
      </w:r>
      <w:r>
        <w:rPr>
          <w:rFonts w:hint="eastAsia"/>
          <w:sz w:val="24"/>
        </w:rPr>
        <w:t>、</w:t>
      </w:r>
      <w:r>
        <w:rPr>
          <w:sz w:val="24"/>
        </w:rPr>
        <w:t>低压，单罐</w:t>
      </w:r>
      <w:r>
        <w:rPr>
          <w:rFonts w:hint="eastAsia"/>
          <w:sz w:val="24"/>
        </w:rPr>
        <w:t>氢气储量</w:t>
      </w:r>
      <w:r>
        <w:rPr>
          <w:sz w:val="24"/>
        </w:rPr>
        <w:t>小于10000Nm</w:t>
      </w:r>
      <w:r>
        <w:rPr>
          <w:sz w:val="24"/>
          <w:vertAlign w:val="superscript"/>
        </w:rPr>
        <w:t>3</w:t>
      </w:r>
      <w:r>
        <w:rPr>
          <w:sz w:val="24"/>
        </w:rPr>
        <w:t>时，宜采用筒形储罐；</w:t>
      </w:r>
    </w:p>
    <w:p>
      <w:pPr>
        <w:pStyle w:val="8"/>
        <w:ind w:firstLine="480"/>
        <w:rPr>
          <w:sz w:val="24"/>
        </w:rPr>
      </w:pPr>
      <w:r>
        <w:rPr>
          <w:sz w:val="24"/>
        </w:rPr>
        <w:t>4 氢气储存压力为高压时，宜采用筒形储罐</w:t>
      </w:r>
      <w:r>
        <w:rPr>
          <w:rFonts w:hint="eastAsia"/>
          <w:sz w:val="24"/>
        </w:rPr>
        <w:t>；当氢气储量不超过15000Nm</w:t>
      </w:r>
      <w:r>
        <w:rPr>
          <w:sz w:val="24"/>
          <w:vertAlign w:val="superscript"/>
        </w:rPr>
        <w:t>3</w:t>
      </w:r>
      <w:r>
        <w:rPr>
          <w:rFonts w:hint="eastAsia"/>
          <w:sz w:val="24"/>
        </w:rPr>
        <w:t>，</w:t>
      </w:r>
      <w:r>
        <w:rPr>
          <w:sz w:val="24"/>
        </w:rPr>
        <w:t>可</w:t>
      </w:r>
      <w:r>
        <w:rPr>
          <w:rFonts w:hint="eastAsia"/>
          <w:sz w:val="24"/>
        </w:rPr>
        <w:t>采用</w:t>
      </w:r>
      <w:r>
        <w:rPr>
          <w:sz w:val="24"/>
        </w:rPr>
        <w:t>大容积气瓶储氢瓶组。</w:t>
      </w:r>
    </w:p>
    <w:p>
      <w:pPr>
        <w:pStyle w:val="8"/>
        <w:ind w:firstLine="0" w:firstLineChars="0"/>
        <w:rPr>
          <w:sz w:val="24"/>
        </w:rPr>
      </w:pPr>
      <w:r>
        <w:rPr>
          <w:sz w:val="24"/>
        </w:rPr>
        <w:t>5.0.10  液氢</w:t>
      </w:r>
      <w:r>
        <w:rPr>
          <w:rFonts w:hint="eastAsia"/>
          <w:sz w:val="24"/>
        </w:rPr>
        <w:t>容器</w:t>
      </w:r>
      <w:r>
        <w:rPr>
          <w:sz w:val="24"/>
        </w:rPr>
        <w:t>的容量，应按下列因素经技术经济比较后确定：</w:t>
      </w:r>
    </w:p>
    <w:p>
      <w:pPr>
        <w:pStyle w:val="8"/>
        <w:ind w:firstLine="570" w:firstLineChars="0"/>
        <w:rPr>
          <w:sz w:val="24"/>
        </w:rPr>
      </w:pPr>
      <w:r>
        <w:rPr>
          <w:sz w:val="24"/>
        </w:rPr>
        <w:t>1氢液化装置液化能力、连续生产要求和使用特性；</w:t>
      </w:r>
    </w:p>
    <w:p>
      <w:pPr>
        <w:pStyle w:val="8"/>
        <w:ind w:firstLine="570" w:firstLineChars="0"/>
        <w:rPr>
          <w:sz w:val="24"/>
        </w:rPr>
      </w:pPr>
      <w:r>
        <w:rPr>
          <w:sz w:val="24"/>
        </w:rPr>
        <w:t>2液氢外运方式和液氢罐车状况；</w:t>
      </w:r>
    </w:p>
    <w:p>
      <w:pPr>
        <w:pStyle w:val="8"/>
        <w:ind w:firstLine="570" w:firstLineChars="0"/>
        <w:rPr>
          <w:sz w:val="24"/>
        </w:rPr>
      </w:pPr>
      <w:r>
        <w:rPr>
          <w:sz w:val="24"/>
        </w:rPr>
        <w:t>3液氢</w:t>
      </w:r>
      <w:r>
        <w:rPr>
          <w:rFonts w:hint="eastAsia"/>
          <w:sz w:val="24"/>
        </w:rPr>
        <w:t>容器</w:t>
      </w:r>
      <w:r>
        <w:rPr>
          <w:sz w:val="24"/>
        </w:rPr>
        <w:t>的蒸发损失、</w:t>
      </w:r>
      <w:r>
        <w:rPr>
          <w:rFonts w:hint="eastAsia"/>
          <w:sz w:val="24"/>
        </w:rPr>
        <w:t>灌</w:t>
      </w:r>
      <w:r>
        <w:rPr>
          <w:sz w:val="24"/>
        </w:rPr>
        <w:t>注损失等。</w:t>
      </w:r>
    </w:p>
    <w:p>
      <w:pPr>
        <w:pStyle w:val="8"/>
        <w:ind w:firstLine="0" w:firstLineChars="0"/>
        <w:rPr>
          <w:sz w:val="24"/>
        </w:rPr>
      </w:pPr>
      <w:r>
        <w:rPr>
          <w:sz w:val="24"/>
        </w:rPr>
        <w:t>5.0.11  固态储氢装置应根据所需储存、供应的氢气容量和小时流量要求选择单个或多个储氢单元组成的储氢系统，储氢容器内装填的储氢材料种类应根据储氢和供氢压力确定。</w:t>
      </w:r>
    </w:p>
    <w:p>
      <w:pPr>
        <w:pStyle w:val="8"/>
        <w:ind w:firstLine="0" w:firstLineChars="0"/>
        <w:rPr>
          <w:sz w:val="24"/>
        </w:rPr>
      </w:pPr>
      <w:r>
        <w:rPr>
          <w:rFonts w:eastAsia="黑体"/>
          <w:sz w:val="24"/>
        </w:rPr>
        <w:t>5.0.12</w:t>
      </w:r>
      <w:r>
        <w:rPr>
          <w:sz w:val="24"/>
        </w:rPr>
        <w:t xml:space="preserve">  氢气输送用压缩机的选型、</w:t>
      </w:r>
      <w:r>
        <w:rPr>
          <w:rFonts w:hint="eastAsia"/>
          <w:sz w:val="24"/>
        </w:rPr>
        <w:t>技术</w:t>
      </w:r>
      <w:r>
        <w:rPr>
          <w:sz w:val="24"/>
        </w:rPr>
        <w:t>参数</w:t>
      </w:r>
      <w:r>
        <w:rPr>
          <w:rFonts w:hint="eastAsia"/>
          <w:sz w:val="24"/>
        </w:rPr>
        <w:t>，</w:t>
      </w:r>
      <w:r>
        <w:rPr>
          <w:sz w:val="24"/>
        </w:rPr>
        <w:t>应符合下列要求</w:t>
      </w:r>
      <w:r>
        <w:rPr>
          <w:rFonts w:hint="eastAsia"/>
          <w:sz w:val="24"/>
        </w:rPr>
        <w:t>：</w:t>
      </w:r>
    </w:p>
    <w:p>
      <w:pPr>
        <w:pStyle w:val="8"/>
        <w:ind w:firstLine="480"/>
        <w:rPr>
          <w:sz w:val="24"/>
        </w:rPr>
      </w:pPr>
      <w:r>
        <w:rPr>
          <w:sz w:val="24"/>
        </w:rPr>
        <w:t>1 压缩机的排气</w:t>
      </w:r>
      <w:r>
        <w:rPr>
          <w:rFonts w:hint="eastAsia"/>
          <w:sz w:val="24"/>
        </w:rPr>
        <w:t>量，</w:t>
      </w:r>
      <w:r>
        <w:rPr>
          <w:sz w:val="24"/>
        </w:rPr>
        <w:t>应根据最大小时氢气输送量</w:t>
      </w:r>
      <w:r>
        <w:rPr>
          <w:rFonts w:hint="eastAsia"/>
          <w:sz w:val="24"/>
        </w:rPr>
        <w:t>、</w:t>
      </w:r>
      <w:r>
        <w:rPr>
          <w:sz w:val="24"/>
        </w:rPr>
        <w:t>供气特性和进气压力、排气压力等确定</w:t>
      </w:r>
      <w:r>
        <w:rPr>
          <w:rFonts w:hint="eastAsia"/>
          <w:sz w:val="24"/>
        </w:rPr>
        <w:t>；</w:t>
      </w:r>
    </w:p>
    <w:p>
      <w:pPr>
        <w:pStyle w:val="8"/>
        <w:ind w:firstLine="480"/>
        <w:rPr>
          <w:sz w:val="24"/>
        </w:rPr>
      </w:pPr>
      <w:r>
        <w:rPr>
          <w:rFonts w:hint="eastAsia"/>
          <w:sz w:val="24"/>
        </w:rPr>
        <w:t>2</w:t>
      </w:r>
      <w:r>
        <w:rPr>
          <w:sz w:val="24"/>
        </w:rPr>
        <w:t xml:space="preserve"> 应按输送的氢气纯度要求</w:t>
      </w:r>
      <w:r>
        <w:rPr>
          <w:rFonts w:hint="eastAsia"/>
          <w:sz w:val="24"/>
        </w:rPr>
        <w:t>，</w:t>
      </w:r>
      <w:r>
        <w:rPr>
          <w:sz w:val="24"/>
        </w:rPr>
        <w:t>合理选择压缩机类型</w:t>
      </w:r>
      <w:r>
        <w:rPr>
          <w:rFonts w:hint="eastAsia"/>
          <w:sz w:val="24"/>
        </w:rPr>
        <w:t>，</w:t>
      </w:r>
      <w:r>
        <w:rPr>
          <w:sz w:val="24"/>
        </w:rPr>
        <w:t>对于纯度等于或严于</w:t>
      </w:r>
      <w:r>
        <w:rPr>
          <w:rFonts w:hint="eastAsia"/>
          <w:sz w:val="24"/>
        </w:rPr>
        <w:t>99.999%时，宜采用无油润滑氢气压缩机等；</w:t>
      </w:r>
    </w:p>
    <w:p>
      <w:pPr>
        <w:pStyle w:val="8"/>
        <w:ind w:firstLine="480"/>
        <w:rPr>
          <w:sz w:val="24"/>
        </w:rPr>
      </w:pPr>
      <w:r>
        <w:rPr>
          <w:rFonts w:hint="eastAsia"/>
          <w:sz w:val="24"/>
        </w:rPr>
        <w:t xml:space="preserve">3 </w:t>
      </w:r>
      <w:r>
        <w:rPr>
          <w:sz w:val="24"/>
        </w:rPr>
        <w:t>氢气压缩机台数不宜少于2台。连续运行的活塞式氢气压缩机宜设置备用机。</w:t>
      </w:r>
    </w:p>
    <w:p>
      <w:pPr>
        <w:pStyle w:val="8"/>
        <w:ind w:firstLine="0" w:firstLineChars="0"/>
        <w:rPr>
          <w:sz w:val="24"/>
        </w:rPr>
      </w:pPr>
      <w:r>
        <w:rPr>
          <w:rFonts w:eastAsia="黑体"/>
          <w:sz w:val="24"/>
        </w:rPr>
        <w:t>5.0.13</w:t>
      </w:r>
      <w:r>
        <w:rPr>
          <w:sz w:val="24"/>
        </w:rPr>
        <w:t xml:space="preserve">  </w:t>
      </w:r>
      <w:r>
        <w:rPr>
          <w:rFonts w:hint="eastAsia"/>
          <w:sz w:val="24"/>
        </w:rPr>
        <w:t>充</w:t>
      </w:r>
      <w:r>
        <w:rPr>
          <w:sz w:val="24"/>
        </w:rPr>
        <w:t>装用氢气压缩机的选型、技术规格、台数，应根据需</w:t>
      </w:r>
      <w:r>
        <w:rPr>
          <w:rFonts w:hint="eastAsia"/>
          <w:sz w:val="24"/>
        </w:rPr>
        <w:t>充</w:t>
      </w:r>
      <w:r>
        <w:rPr>
          <w:sz w:val="24"/>
        </w:rPr>
        <w:t>装的容器、气瓶或气瓶组</w:t>
      </w:r>
      <w:r>
        <w:rPr>
          <w:rFonts w:hint="eastAsia"/>
          <w:sz w:val="24"/>
        </w:rPr>
        <w:t>的</w:t>
      </w:r>
      <w:r>
        <w:rPr>
          <w:sz w:val="24"/>
        </w:rPr>
        <w:t>规格、数量，充装时间和充装压力、气源压力等确定。</w:t>
      </w:r>
    </w:p>
    <w:p>
      <w:pPr>
        <w:pStyle w:val="8"/>
        <w:ind w:firstLine="0" w:firstLineChars="0"/>
        <w:rPr>
          <w:sz w:val="24"/>
        </w:rPr>
      </w:pPr>
      <w:r>
        <w:rPr>
          <w:rFonts w:eastAsia="黑体"/>
          <w:sz w:val="24"/>
        </w:rPr>
        <w:t>5.0.14</w:t>
      </w:r>
      <w:r>
        <w:rPr>
          <w:sz w:val="24"/>
        </w:rPr>
        <w:t xml:space="preserve">  高纯氢气</w:t>
      </w:r>
      <w:r>
        <w:rPr>
          <w:rFonts w:hint="eastAsia"/>
          <w:sz w:val="24"/>
        </w:rPr>
        <w:t>的充装宜采用隔膜式压缩机或无油压缩机，且</w:t>
      </w:r>
      <w:r>
        <w:rPr>
          <w:sz w:val="24"/>
        </w:rPr>
        <w:t>宜配置</w:t>
      </w:r>
      <w:r>
        <w:rPr>
          <w:rFonts w:hint="eastAsia"/>
          <w:sz w:val="24"/>
        </w:rPr>
        <w:t>空</w:t>
      </w:r>
      <w:r>
        <w:rPr>
          <w:sz w:val="24"/>
        </w:rPr>
        <w:t>气瓶处理系统，包括气瓶抽真空设备和气瓶加热装置等。</w:t>
      </w:r>
    </w:p>
    <w:p>
      <w:pPr>
        <w:pStyle w:val="8"/>
        <w:ind w:firstLine="0" w:firstLineChars="0"/>
        <w:rPr>
          <w:sz w:val="24"/>
        </w:rPr>
      </w:pPr>
      <w:r>
        <w:rPr>
          <w:rFonts w:eastAsia="黑体"/>
          <w:sz w:val="24"/>
        </w:rPr>
        <w:t>5.0.15</w:t>
      </w:r>
      <w:r>
        <w:rPr>
          <w:sz w:val="24"/>
        </w:rPr>
        <w:t xml:space="preserve">  氢气</w:t>
      </w:r>
      <w:r>
        <w:rPr>
          <w:rFonts w:hint="eastAsia"/>
          <w:sz w:val="24"/>
        </w:rPr>
        <w:t>充</w:t>
      </w:r>
      <w:r>
        <w:rPr>
          <w:sz w:val="24"/>
        </w:rPr>
        <w:t>装设施的设置，应符合下列要求：</w:t>
      </w:r>
    </w:p>
    <w:p>
      <w:pPr>
        <w:pStyle w:val="8"/>
        <w:ind w:firstLine="570" w:firstLineChars="0"/>
        <w:rPr>
          <w:sz w:val="24"/>
        </w:rPr>
      </w:pPr>
      <w:r>
        <w:rPr>
          <w:sz w:val="24"/>
        </w:rPr>
        <w:t>1氢气钢瓶</w:t>
      </w:r>
      <w:r>
        <w:rPr>
          <w:rFonts w:hint="eastAsia"/>
          <w:sz w:val="24"/>
        </w:rPr>
        <w:t>充</w:t>
      </w:r>
      <w:r>
        <w:rPr>
          <w:sz w:val="24"/>
        </w:rPr>
        <w:t>装用</w:t>
      </w:r>
      <w:r>
        <w:rPr>
          <w:rFonts w:hint="eastAsia"/>
          <w:sz w:val="24"/>
        </w:rPr>
        <w:t>充装</w:t>
      </w:r>
      <w:r>
        <w:rPr>
          <w:sz w:val="24"/>
        </w:rPr>
        <w:t>台应设两组或两组以上，一组</w:t>
      </w:r>
      <w:r>
        <w:rPr>
          <w:rFonts w:hint="eastAsia"/>
          <w:sz w:val="24"/>
        </w:rPr>
        <w:t>充</w:t>
      </w:r>
      <w:r>
        <w:rPr>
          <w:sz w:val="24"/>
        </w:rPr>
        <w:t>装、一组倒换气瓶。每组气瓶的数量</w:t>
      </w:r>
      <w:r>
        <w:rPr>
          <w:rFonts w:hint="eastAsia"/>
          <w:sz w:val="24"/>
        </w:rPr>
        <w:t>，</w:t>
      </w:r>
      <w:r>
        <w:rPr>
          <w:sz w:val="24"/>
        </w:rPr>
        <w:t>应以外销氢气量或</w:t>
      </w:r>
      <w:r>
        <w:rPr>
          <w:rFonts w:hint="eastAsia"/>
          <w:sz w:val="24"/>
        </w:rPr>
        <w:t>充</w:t>
      </w:r>
      <w:r>
        <w:rPr>
          <w:sz w:val="24"/>
        </w:rPr>
        <w:t>装氢气压缩机的排气量</w:t>
      </w:r>
      <w:r>
        <w:rPr>
          <w:rFonts w:hint="eastAsia"/>
          <w:sz w:val="24"/>
        </w:rPr>
        <w:t>和</w:t>
      </w:r>
      <w:r>
        <w:rPr>
          <w:sz w:val="24"/>
        </w:rPr>
        <w:t>氢气充装时间确定</w:t>
      </w:r>
      <w:r>
        <w:rPr>
          <w:rFonts w:hint="eastAsia"/>
          <w:sz w:val="24"/>
        </w:rPr>
        <w:t>；</w:t>
      </w:r>
    </w:p>
    <w:p>
      <w:pPr>
        <w:pStyle w:val="8"/>
        <w:ind w:firstLine="480"/>
        <w:rPr>
          <w:sz w:val="24"/>
        </w:rPr>
      </w:pPr>
      <w:r>
        <w:rPr>
          <w:sz w:val="24"/>
        </w:rPr>
        <w:t>2氢气</w:t>
      </w:r>
      <w:r>
        <w:rPr>
          <w:rFonts w:hint="eastAsia"/>
          <w:sz w:val="24"/>
        </w:rPr>
        <w:t>充</w:t>
      </w:r>
      <w:r>
        <w:rPr>
          <w:sz w:val="24"/>
        </w:rPr>
        <w:t>装用气瓶集装格通常设两组以上，气瓶集装格的数量和每格的气瓶数量应根据外销氢气量和方便运输或吊装等因素确定</w:t>
      </w:r>
      <w:r>
        <w:rPr>
          <w:rFonts w:hint="eastAsia"/>
          <w:sz w:val="24"/>
        </w:rPr>
        <w:t>；</w:t>
      </w:r>
    </w:p>
    <w:p>
      <w:pPr>
        <w:pStyle w:val="8"/>
        <w:ind w:firstLine="480"/>
        <w:rPr>
          <w:sz w:val="24"/>
        </w:rPr>
      </w:pPr>
      <w:r>
        <w:rPr>
          <w:sz w:val="24"/>
        </w:rPr>
        <w:t>3氢气长管拖车</w:t>
      </w:r>
      <w:r>
        <w:rPr>
          <w:rFonts w:hint="eastAsia"/>
          <w:sz w:val="24"/>
        </w:rPr>
        <w:t>充装</w:t>
      </w:r>
      <w:r>
        <w:rPr>
          <w:sz w:val="24"/>
        </w:rPr>
        <w:t>车位</w:t>
      </w:r>
      <w:r>
        <w:rPr>
          <w:rFonts w:hint="eastAsia"/>
          <w:sz w:val="24"/>
        </w:rPr>
        <w:t>及其相连接的</w:t>
      </w:r>
      <w:r>
        <w:rPr>
          <w:sz w:val="24"/>
        </w:rPr>
        <w:t>充装阀组的设置，应根据规模</w:t>
      </w:r>
      <w:r>
        <w:rPr>
          <w:rFonts w:hint="eastAsia"/>
          <w:sz w:val="24"/>
        </w:rPr>
        <w:t>、充装所需时间</w:t>
      </w:r>
      <w:r>
        <w:rPr>
          <w:sz w:val="24"/>
        </w:rPr>
        <w:t>和</w:t>
      </w:r>
      <w:r>
        <w:rPr>
          <w:rFonts w:hint="eastAsia"/>
          <w:sz w:val="24"/>
        </w:rPr>
        <w:t>充</w:t>
      </w:r>
      <w:r>
        <w:rPr>
          <w:sz w:val="24"/>
        </w:rPr>
        <w:t>装频次等确定。</w:t>
      </w:r>
    </w:p>
    <w:p>
      <w:pPr>
        <w:pStyle w:val="8"/>
        <w:ind w:firstLine="0" w:firstLineChars="0"/>
        <w:rPr>
          <w:sz w:val="24"/>
        </w:rPr>
      </w:pPr>
      <w:r>
        <w:rPr>
          <w:rFonts w:eastAsia="黑体"/>
          <w:sz w:val="24"/>
        </w:rPr>
        <w:t>5.0.16</w:t>
      </w:r>
      <w:r>
        <w:rPr>
          <w:sz w:val="24"/>
        </w:rPr>
        <w:t xml:space="preserve">  供氢站的氢气汇流排，应设两组或两组以上，一组供气，一组倒换气瓶。每组气瓶的数量，应按用户最大小时耗量和供气时间确定。</w:t>
      </w:r>
    </w:p>
    <w:p>
      <w:pPr>
        <w:pStyle w:val="8"/>
        <w:ind w:firstLine="0" w:firstLineChars="0"/>
        <w:rPr>
          <w:sz w:val="24"/>
        </w:rPr>
      </w:pPr>
      <w:r>
        <w:rPr>
          <w:rFonts w:eastAsia="黑体"/>
          <w:sz w:val="24"/>
        </w:rPr>
        <w:t xml:space="preserve">5.0.17 </w:t>
      </w:r>
      <w:r>
        <w:rPr>
          <w:sz w:val="24"/>
        </w:rPr>
        <w:t xml:space="preserve"> 供氢站内的氢气长管拖车、氢气管束式集装箱停放车位的设置，其数量应依据供氢站规模，氢气长管拖车、氢气管束式集装箱的技术规格以及周转时间等因素确定。</w:t>
      </w:r>
    </w:p>
    <w:p>
      <w:pPr>
        <w:pStyle w:val="8"/>
        <w:ind w:firstLine="0" w:firstLineChars="0"/>
        <w:rPr>
          <w:sz w:val="24"/>
        </w:rPr>
      </w:pPr>
      <w:r>
        <w:rPr>
          <w:rFonts w:eastAsia="黑体"/>
          <w:sz w:val="24"/>
        </w:rPr>
        <w:t>5.0.18</w:t>
      </w:r>
      <w:r>
        <w:rPr>
          <w:sz w:val="24"/>
        </w:rPr>
        <w:t xml:space="preserve">  氢气站、供氢站内</w:t>
      </w:r>
      <w:r>
        <w:rPr>
          <w:rFonts w:hint="eastAsia"/>
          <w:sz w:val="24"/>
        </w:rPr>
        <w:t>配置</w:t>
      </w:r>
      <w:r>
        <w:rPr>
          <w:sz w:val="24"/>
        </w:rPr>
        <w:t>的设备需要吊装时，宜设起吊设施，起吊设施的起吊重量，应按吊装件的最大荷重确定。</w:t>
      </w:r>
    </w:p>
    <w:p>
      <w:pPr>
        <w:pStyle w:val="8"/>
        <w:ind w:firstLine="0" w:firstLineChars="0"/>
        <w:rPr>
          <w:sz w:val="24"/>
        </w:rPr>
      </w:pPr>
      <w:r>
        <w:rPr>
          <w:rFonts w:eastAsia="黑体"/>
          <w:sz w:val="24"/>
        </w:rPr>
        <w:t xml:space="preserve">5.0.19 </w:t>
      </w:r>
      <w:r>
        <w:rPr>
          <w:sz w:val="24"/>
        </w:rPr>
        <w:t xml:space="preserve"> 在氢气站、供氢站内使用内燃机的设备应配备排气火花熄灭器。</w:t>
      </w:r>
    </w:p>
    <w:p>
      <w:pPr>
        <w:pStyle w:val="8"/>
        <w:ind w:firstLine="0" w:firstLineChars="0"/>
      </w:pPr>
    </w:p>
    <w:p>
      <w:pPr>
        <w:pStyle w:val="8"/>
        <w:ind w:firstLine="0" w:firstLineChars="0"/>
        <w:jc w:val="center"/>
        <w:outlineLvl w:val="0"/>
        <w:rPr>
          <w:sz w:val="30"/>
        </w:rPr>
      </w:pPr>
      <w:r>
        <w:br w:type="page"/>
      </w:r>
      <w:bookmarkStart w:id="10" w:name="_Toc108940933"/>
      <w:r>
        <w:rPr>
          <w:sz w:val="30"/>
        </w:rPr>
        <w:t>6 工艺布置</w:t>
      </w:r>
      <w:bookmarkEnd w:id="10"/>
    </w:p>
    <w:p>
      <w:pPr>
        <w:pStyle w:val="8"/>
        <w:ind w:firstLineChars="0"/>
      </w:pPr>
    </w:p>
    <w:p>
      <w:pPr>
        <w:pStyle w:val="8"/>
        <w:ind w:firstLine="0" w:firstLineChars="0"/>
        <w:rPr>
          <w:sz w:val="24"/>
        </w:rPr>
      </w:pPr>
      <w:r>
        <w:rPr>
          <w:rFonts w:eastAsia="黑体"/>
          <w:sz w:val="24"/>
        </w:rPr>
        <w:t>6.0.1</w:t>
      </w:r>
      <w:r>
        <w:rPr>
          <w:sz w:val="24"/>
        </w:rPr>
        <w:t xml:space="preserve">  当氢气站内的制氢装置、储氢装置、压缩、氢液化装置和辅助装置等相关设备为室外布置时，可将氢气站内的建筑物、构筑物和室外设备视为一套工艺装置。在装置内部，根据氢气生产工艺需要将其分隔为设备区、建筑物区等。</w:t>
      </w:r>
    </w:p>
    <w:p>
      <w:pPr>
        <w:pStyle w:val="8"/>
        <w:ind w:firstLine="0" w:firstLineChars="0"/>
        <w:rPr>
          <w:rFonts w:eastAsia="黑体"/>
        </w:rPr>
      </w:pPr>
      <w:r>
        <w:rPr>
          <w:rFonts w:eastAsia="黑体"/>
          <w:sz w:val="24"/>
        </w:rPr>
        <w:t>6.0.2  氢气站工艺装置内的设备、建筑物平面布置的防火间距，不应小于表6.0.2的规定。</w:t>
      </w:r>
    </w:p>
    <w:p>
      <w:pPr>
        <w:pStyle w:val="8"/>
        <w:ind w:firstLine="0" w:firstLineChars="0"/>
        <w:jc w:val="center"/>
        <w:rPr>
          <w:rFonts w:eastAsia="黑体"/>
          <w:sz w:val="16"/>
        </w:rPr>
      </w:pPr>
      <w:r>
        <w:rPr>
          <w:rFonts w:eastAsia="黑体"/>
          <w:sz w:val="21"/>
        </w:rPr>
        <w:t>表6.0.2  设备、建筑物平面布置的防火间距（m）</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363"/>
        <w:gridCol w:w="1622"/>
        <w:gridCol w:w="1612"/>
        <w:gridCol w:w="13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60" w:type="pct"/>
            <w:vAlign w:val="center"/>
          </w:tcPr>
          <w:p>
            <w:pPr>
              <w:pStyle w:val="8"/>
              <w:spacing w:line="300" w:lineRule="atLeast"/>
              <w:ind w:firstLine="0" w:firstLineChars="0"/>
              <w:jc w:val="center"/>
              <w:rPr>
                <w:rFonts w:eastAsia="黑体"/>
                <w:sz w:val="21"/>
              </w:rPr>
            </w:pPr>
            <w:r>
              <w:rPr>
                <w:rFonts w:eastAsia="黑体"/>
                <w:sz w:val="21"/>
              </w:rPr>
              <w:t>项目</w:t>
            </w:r>
          </w:p>
        </w:tc>
        <w:tc>
          <w:tcPr>
            <w:tcW w:w="799" w:type="pct"/>
            <w:vAlign w:val="center"/>
          </w:tcPr>
          <w:p>
            <w:pPr>
              <w:pStyle w:val="8"/>
              <w:spacing w:line="300" w:lineRule="atLeast"/>
              <w:ind w:firstLine="0" w:firstLineChars="0"/>
              <w:jc w:val="center"/>
              <w:rPr>
                <w:rFonts w:eastAsia="黑体"/>
                <w:sz w:val="21"/>
              </w:rPr>
            </w:pPr>
            <w:r>
              <w:rPr>
                <w:rFonts w:eastAsia="黑体"/>
                <w:sz w:val="21"/>
              </w:rPr>
              <w:t>控制室、变配电室、生活辅助间</w:t>
            </w:r>
          </w:p>
        </w:tc>
        <w:tc>
          <w:tcPr>
            <w:tcW w:w="951" w:type="pct"/>
            <w:vAlign w:val="center"/>
          </w:tcPr>
          <w:p>
            <w:pPr>
              <w:pStyle w:val="8"/>
              <w:spacing w:line="300" w:lineRule="atLeast"/>
              <w:ind w:firstLine="0" w:firstLineChars="0"/>
              <w:jc w:val="center"/>
              <w:rPr>
                <w:rFonts w:eastAsia="黑体"/>
                <w:sz w:val="21"/>
              </w:rPr>
            </w:pPr>
            <w:r>
              <w:rPr>
                <w:rFonts w:eastAsia="黑体"/>
                <w:sz w:val="21"/>
              </w:rPr>
              <w:t>氢气压缩机或氢气压缩机间</w:t>
            </w:r>
          </w:p>
        </w:tc>
        <w:tc>
          <w:tcPr>
            <w:tcW w:w="945" w:type="pct"/>
            <w:vAlign w:val="center"/>
          </w:tcPr>
          <w:p>
            <w:pPr>
              <w:pStyle w:val="8"/>
              <w:spacing w:line="300" w:lineRule="atLeast"/>
              <w:ind w:firstLine="0" w:firstLineChars="0"/>
              <w:jc w:val="center"/>
              <w:rPr>
                <w:rFonts w:eastAsia="黑体"/>
                <w:sz w:val="21"/>
              </w:rPr>
            </w:pPr>
            <w:r>
              <w:rPr>
                <w:rFonts w:eastAsia="黑体"/>
                <w:sz w:val="21"/>
              </w:rPr>
              <w:t>装置内氢气储存压力容器</w:t>
            </w:r>
          </w:p>
        </w:tc>
        <w:tc>
          <w:tcPr>
            <w:tcW w:w="780" w:type="pct"/>
            <w:vAlign w:val="center"/>
          </w:tcPr>
          <w:p>
            <w:pPr>
              <w:pStyle w:val="8"/>
              <w:spacing w:line="300" w:lineRule="atLeast"/>
              <w:ind w:firstLine="0" w:firstLineChars="0"/>
              <w:jc w:val="center"/>
              <w:rPr>
                <w:rFonts w:eastAsia="黑体"/>
                <w:sz w:val="21"/>
              </w:rPr>
            </w:pPr>
            <w:r>
              <w:rPr>
                <w:rFonts w:eastAsia="黑体"/>
                <w:sz w:val="21"/>
              </w:rPr>
              <w:t>氢</w:t>
            </w:r>
            <w:r>
              <w:rPr>
                <w:rFonts w:hint="eastAsia" w:eastAsia="黑体"/>
                <w:sz w:val="21"/>
              </w:rPr>
              <w:t>充装</w:t>
            </w:r>
            <w:r>
              <w:rPr>
                <w:rFonts w:eastAsia="黑体"/>
                <w:sz w:val="21"/>
              </w:rPr>
              <w:t>间、</w:t>
            </w:r>
          </w:p>
          <w:p>
            <w:pPr>
              <w:pStyle w:val="8"/>
              <w:spacing w:line="300" w:lineRule="atLeast"/>
              <w:ind w:firstLine="0" w:firstLineChars="0"/>
              <w:jc w:val="center"/>
              <w:rPr>
                <w:rFonts w:eastAsia="黑体"/>
                <w:sz w:val="21"/>
              </w:rPr>
            </w:pPr>
            <w:r>
              <w:rPr>
                <w:rFonts w:eastAsia="黑体"/>
                <w:sz w:val="21"/>
              </w:rPr>
              <w:t>氢实(空)瓶间</w:t>
            </w:r>
          </w:p>
        </w:tc>
        <w:tc>
          <w:tcPr>
            <w:tcW w:w="666" w:type="pct"/>
            <w:vAlign w:val="center"/>
          </w:tcPr>
          <w:p>
            <w:pPr>
              <w:pStyle w:val="8"/>
              <w:spacing w:line="300" w:lineRule="atLeast"/>
              <w:ind w:firstLine="0" w:firstLineChars="0"/>
              <w:jc w:val="center"/>
              <w:rPr>
                <w:rFonts w:eastAsia="黑体"/>
                <w:sz w:val="21"/>
              </w:rPr>
            </w:pPr>
            <w:r>
              <w:rPr>
                <w:rFonts w:eastAsia="黑体"/>
                <w:sz w:val="21"/>
              </w:rPr>
              <w:t>明火设备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pct"/>
            <w:vAlign w:val="center"/>
          </w:tcPr>
          <w:p>
            <w:pPr>
              <w:pStyle w:val="8"/>
              <w:spacing w:line="300" w:lineRule="atLeast"/>
              <w:ind w:firstLine="0" w:firstLineChars="0"/>
              <w:jc w:val="center"/>
              <w:rPr>
                <w:rFonts w:eastAsia="黑体"/>
                <w:sz w:val="21"/>
              </w:rPr>
            </w:pPr>
            <w:r>
              <w:rPr>
                <w:rFonts w:eastAsia="黑体"/>
                <w:sz w:val="21"/>
              </w:rPr>
              <w:t>控制室、变配电室、生活辅助间</w:t>
            </w:r>
          </w:p>
        </w:tc>
        <w:tc>
          <w:tcPr>
            <w:tcW w:w="799" w:type="pct"/>
            <w:vAlign w:val="center"/>
          </w:tcPr>
          <w:p>
            <w:pPr>
              <w:pStyle w:val="8"/>
              <w:spacing w:line="300" w:lineRule="atLeast"/>
              <w:ind w:firstLine="0" w:firstLineChars="0"/>
              <w:jc w:val="center"/>
              <w:rPr>
                <w:rFonts w:eastAsia="黑体"/>
                <w:sz w:val="21"/>
              </w:rPr>
            </w:pPr>
            <w:r>
              <w:rPr>
                <w:rFonts w:eastAsia="黑体"/>
                <w:sz w:val="21"/>
              </w:rPr>
              <w:t>一</w:t>
            </w:r>
          </w:p>
        </w:tc>
        <w:tc>
          <w:tcPr>
            <w:tcW w:w="951" w:type="pct"/>
            <w:vAlign w:val="center"/>
          </w:tcPr>
          <w:p>
            <w:pPr>
              <w:pStyle w:val="8"/>
              <w:spacing w:line="300" w:lineRule="atLeast"/>
              <w:ind w:firstLine="0" w:firstLineChars="0"/>
              <w:jc w:val="center"/>
              <w:rPr>
                <w:rFonts w:eastAsia="黑体"/>
                <w:sz w:val="21"/>
              </w:rPr>
            </w:pPr>
            <w:r>
              <w:rPr>
                <w:rFonts w:eastAsia="黑体"/>
                <w:sz w:val="21"/>
              </w:rPr>
              <w:t>15</w:t>
            </w:r>
          </w:p>
        </w:tc>
        <w:tc>
          <w:tcPr>
            <w:tcW w:w="945" w:type="pct"/>
            <w:vAlign w:val="center"/>
          </w:tcPr>
          <w:p>
            <w:pPr>
              <w:pStyle w:val="8"/>
              <w:spacing w:line="300" w:lineRule="atLeast"/>
              <w:ind w:firstLine="0" w:firstLineChars="0"/>
              <w:jc w:val="center"/>
              <w:rPr>
                <w:rFonts w:eastAsia="黑体"/>
                <w:sz w:val="21"/>
              </w:rPr>
            </w:pPr>
            <w:r>
              <w:rPr>
                <w:rFonts w:eastAsia="黑体"/>
                <w:sz w:val="21"/>
              </w:rPr>
              <w:t>15</w:t>
            </w:r>
          </w:p>
        </w:tc>
        <w:tc>
          <w:tcPr>
            <w:tcW w:w="780" w:type="pct"/>
            <w:vAlign w:val="center"/>
          </w:tcPr>
          <w:p>
            <w:pPr>
              <w:pStyle w:val="8"/>
              <w:spacing w:line="300" w:lineRule="atLeast"/>
              <w:ind w:firstLine="0" w:firstLineChars="0"/>
              <w:jc w:val="center"/>
              <w:rPr>
                <w:rFonts w:eastAsia="黑体"/>
                <w:sz w:val="21"/>
              </w:rPr>
            </w:pPr>
            <w:r>
              <w:rPr>
                <w:rFonts w:eastAsia="黑体"/>
                <w:sz w:val="21"/>
              </w:rPr>
              <w:t>15</w:t>
            </w:r>
          </w:p>
        </w:tc>
        <w:tc>
          <w:tcPr>
            <w:tcW w:w="666" w:type="pct"/>
            <w:vAlign w:val="center"/>
          </w:tcPr>
          <w:p>
            <w:pPr>
              <w:pStyle w:val="8"/>
              <w:spacing w:line="300" w:lineRule="atLeast"/>
              <w:ind w:firstLine="0" w:firstLineChars="0"/>
              <w:jc w:val="center"/>
              <w:rPr>
                <w:rFonts w:eastAsia="黑体"/>
                <w:sz w:val="21"/>
              </w:rPr>
            </w:pPr>
            <w:r>
              <w:rPr>
                <w:rFonts w:eastAsia="黑体"/>
                <w:sz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pct"/>
            <w:vAlign w:val="center"/>
          </w:tcPr>
          <w:p>
            <w:pPr>
              <w:pStyle w:val="8"/>
              <w:spacing w:line="300" w:lineRule="atLeast"/>
              <w:ind w:firstLine="0" w:firstLineChars="0"/>
              <w:jc w:val="center"/>
              <w:rPr>
                <w:rFonts w:eastAsia="黑体"/>
                <w:sz w:val="21"/>
              </w:rPr>
            </w:pPr>
            <w:r>
              <w:rPr>
                <w:rFonts w:eastAsia="黑体"/>
                <w:sz w:val="21"/>
              </w:rPr>
              <w:t>氢气压缩机或氢气压缩机间</w:t>
            </w:r>
          </w:p>
        </w:tc>
        <w:tc>
          <w:tcPr>
            <w:tcW w:w="799" w:type="pct"/>
            <w:vAlign w:val="center"/>
          </w:tcPr>
          <w:p>
            <w:pPr>
              <w:pStyle w:val="8"/>
              <w:spacing w:line="300" w:lineRule="atLeast"/>
              <w:ind w:firstLine="0" w:firstLineChars="0"/>
              <w:jc w:val="center"/>
              <w:rPr>
                <w:rFonts w:eastAsia="黑体"/>
                <w:sz w:val="21"/>
              </w:rPr>
            </w:pPr>
            <w:r>
              <w:rPr>
                <w:rFonts w:eastAsia="黑体"/>
                <w:sz w:val="21"/>
              </w:rPr>
              <w:t>15</w:t>
            </w:r>
          </w:p>
        </w:tc>
        <w:tc>
          <w:tcPr>
            <w:tcW w:w="951" w:type="pct"/>
            <w:vAlign w:val="center"/>
          </w:tcPr>
          <w:p>
            <w:pPr>
              <w:pStyle w:val="8"/>
              <w:spacing w:line="300" w:lineRule="atLeast"/>
              <w:ind w:firstLine="0" w:firstLineChars="0"/>
              <w:jc w:val="center"/>
              <w:rPr>
                <w:rFonts w:eastAsia="黑体"/>
                <w:sz w:val="21"/>
              </w:rPr>
            </w:pPr>
            <w:r>
              <w:rPr>
                <w:rFonts w:eastAsia="黑体"/>
                <w:sz w:val="21"/>
              </w:rPr>
              <w:t>一</w:t>
            </w:r>
          </w:p>
        </w:tc>
        <w:tc>
          <w:tcPr>
            <w:tcW w:w="945" w:type="pct"/>
            <w:vAlign w:val="center"/>
          </w:tcPr>
          <w:p>
            <w:pPr>
              <w:pStyle w:val="8"/>
              <w:spacing w:line="300" w:lineRule="atLeast"/>
              <w:ind w:firstLine="0" w:firstLineChars="0"/>
              <w:jc w:val="center"/>
              <w:rPr>
                <w:rFonts w:eastAsia="黑体"/>
                <w:sz w:val="21"/>
              </w:rPr>
            </w:pPr>
            <w:r>
              <w:rPr>
                <w:rFonts w:eastAsia="黑体"/>
                <w:sz w:val="21"/>
              </w:rPr>
              <w:t>9</w:t>
            </w:r>
          </w:p>
        </w:tc>
        <w:tc>
          <w:tcPr>
            <w:tcW w:w="780" w:type="pct"/>
            <w:vAlign w:val="center"/>
          </w:tcPr>
          <w:p>
            <w:pPr>
              <w:pStyle w:val="8"/>
              <w:spacing w:line="300" w:lineRule="atLeast"/>
              <w:ind w:firstLine="0" w:firstLineChars="0"/>
              <w:jc w:val="center"/>
              <w:rPr>
                <w:rFonts w:eastAsia="黑体"/>
                <w:sz w:val="21"/>
              </w:rPr>
            </w:pPr>
            <w:r>
              <w:rPr>
                <w:rFonts w:eastAsia="黑体"/>
                <w:sz w:val="21"/>
              </w:rPr>
              <w:t>9</w:t>
            </w:r>
          </w:p>
        </w:tc>
        <w:tc>
          <w:tcPr>
            <w:tcW w:w="666" w:type="pct"/>
            <w:vAlign w:val="center"/>
          </w:tcPr>
          <w:p>
            <w:pPr>
              <w:pStyle w:val="8"/>
              <w:spacing w:line="300" w:lineRule="atLeast"/>
              <w:ind w:firstLine="0" w:firstLineChars="0"/>
              <w:jc w:val="center"/>
              <w:rPr>
                <w:rFonts w:eastAsia="黑体"/>
                <w:sz w:val="21"/>
              </w:rPr>
            </w:pPr>
            <w:r>
              <w:rPr>
                <w:rFonts w:eastAsia="黑体"/>
                <w:sz w:val="21"/>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60" w:type="pct"/>
            <w:vAlign w:val="center"/>
          </w:tcPr>
          <w:p>
            <w:pPr>
              <w:pStyle w:val="8"/>
              <w:spacing w:line="300" w:lineRule="atLeast"/>
              <w:ind w:firstLine="0" w:firstLineChars="0"/>
              <w:jc w:val="center"/>
              <w:rPr>
                <w:rFonts w:eastAsia="黑体"/>
                <w:sz w:val="21"/>
              </w:rPr>
            </w:pPr>
            <w:r>
              <w:rPr>
                <w:rFonts w:eastAsia="黑体"/>
                <w:sz w:val="21"/>
              </w:rPr>
              <w:t>装置内氢气储存压力容器</w:t>
            </w:r>
          </w:p>
        </w:tc>
        <w:tc>
          <w:tcPr>
            <w:tcW w:w="799" w:type="pct"/>
            <w:vAlign w:val="center"/>
          </w:tcPr>
          <w:p>
            <w:pPr>
              <w:pStyle w:val="8"/>
              <w:spacing w:line="300" w:lineRule="atLeast"/>
              <w:ind w:firstLine="0" w:firstLineChars="0"/>
              <w:jc w:val="center"/>
              <w:rPr>
                <w:rFonts w:eastAsia="黑体"/>
                <w:sz w:val="21"/>
              </w:rPr>
            </w:pPr>
            <w:r>
              <w:rPr>
                <w:rFonts w:eastAsia="黑体"/>
                <w:sz w:val="21"/>
              </w:rPr>
              <w:t>15</w:t>
            </w:r>
          </w:p>
        </w:tc>
        <w:tc>
          <w:tcPr>
            <w:tcW w:w="951" w:type="pct"/>
            <w:vAlign w:val="center"/>
          </w:tcPr>
          <w:p>
            <w:pPr>
              <w:pStyle w:val="8"/>
              <w:spacing w:line="300" w:lineRule="atLeast"/>
              <w:ind w:firstLine="0" w:firstLineChars="0"/>
              <w:jc w:val="center"/>
              <w:rPr>
                <w:rFonts w:eastAsia="黑体"/>
                <w:sz w:val="21"/>
              </w:rPr>
            </w:pPr>
            <w:r>
              <w:rPr>
                <w:rFonts w:eastAsia="黑体"/>
                <w:sz w:val="21"/>
              </w:rPr>
              <w:t>9</w:t>
            </w:r>
          </w:p>
        </w:tc>
        <w:tc>
          <w:tcPr>
            <w:tcW w:w="945" w:type="pct"/>
            <w:vAlign w:val="center"/>
          </w:tcPr>
          <w:p>
            <w:pPr>
              <w:pStyle w:val="8"/>
              <w:spacing w:line="300" w:lineRule="atLeast"/>
              <w:ind w:firstLine="0" w:firstLineChars="0"/>
              <w:jc w:val="center"/>
              <w:rPr>
                <w:rFonts w:eastAsia="黑体"/>
                <w:sz w:val="21"/>
              </w:rPr>
            </w:pPr>
            <w:r>
              <w:rPr>
                <w:rFonts w:eastAsia="黑体"/>
                <w:sz w:val="21"/>
              </w:rPr>
              <w:t>一</w:t>
            </w:r>
          </w:p>
        </w:tc>
        <w:tc>
          <w:tcPr>
            <w:tcW w:w="780" w:type="pct"/>
            <w:vAlign w:val="center"/>
          </w:tcPr>
          <w:p>
            <w:pPr>
              <w:pStyle w:val="8"/>
              <w:spacing w:line="300" w:lineRule="atLeast"/>
              <w:ind w:firstLine="0" w:firstLineChars="0"/>
              <w:jc w:val="center"/>
              <w:rPr>
                <w:rFonts w:eastAsia="黑体"/>
                <w:sz w:val="21"/>
              </w:rPr>
            </w:pPr>
            <w:r>
              <w:rPr>
                <w:rFonts w:eastAsia="黑体"/>
                <w:sz w:val="21"/>
              </w:rPr>
              <w:t>9</w:t>
            </w:r>
          </w:p>
        </w:tc>
        <w:tc>
          <w:tcPr>
            <w:tcW w:w="666" w:type="pct"/>
            <w:vAlign w:val="center"/>
          </w:tcPr>
          <w:p>
            <w:pPr>
              <w:pStyle w:val="8"/>
              <w:spacing w:line="300" w:lineRule="atLeast"/>
              <w:ind w:firstLine="0" w:firstLineChars="0"/>
              <w:jc w:val="center"/>
              <w:rPr>
                <w:rFonts w:eastAsia="黑体"/>
                <w:sz w:val="21"/>
              </w:rPr>
            </w:pPr>
            <w:r>
              <w:rPr>
                <w:rFonts w:eastAsia="黑体"/>
                <w:sz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pct"/>
            <w:vAlign w:val="center"/>
          </w:tcPr>
          <w:p>
            <w:pPr>
              <w:pStyle w:val="8"/>
              <w:spacing w:line="300" w:lineRule="atLeast"/>
              <w:ind w:firstLine="0" w:firstLineChars="0"/>
              <w:jc w:val="center"/>
              <w:rPr>
                <w:rFonts w:eastAsia="黑体"/>
                <w:sz w:val="21"/>
              </w:rPr>
            </w:pPr>
            <w:r>
              <w:rPr>
                <w:rFonts w:eastAsia="黑体"/>
                <w:sz w:val="21"/>
              </w:rPr>
              <w:t>氢</w:t>
            </w:r>
            <w:r>
              <w:rPr>
                <w:rFonts w:hint="eastAsia" w:eastAsia="黑体"/>
                <w:sz w:val="21"/>
              </w:rPr>
              <w:t>充装</w:t>
            </w:r>
            <w:r>
              <w:rPr>
                <w:rFonts w:eastAsia="黑体"/>
                <w:sz w:val="21"/>
              </w:rPr>
              <w:t>间、氢实(空)瓶间</w:t>
            </w:r>
          </w:p>
        </w:tc>
        <w:tc>
          <w:tcPr>
            <w:tcW w:w="799" w:type="pct"/>
            <w:vAlign w:val="center"/>
          </w:tcPr>
          <w:p>
            <w:pPr>
              <w:pStyle w:val="8"/>
              <w:spacing w:line="300" w:lineRule="atLeast"/>
              <w:ind w:firstLine="0" w:firstLineChars="0"/>
              <w:jc w:val="center"/>
              <w:rPr>
                <w:rFonts w:eastAsia="黑体"/>
                <w:sz w:val="21"/>
              </w:rPr>
            </w:pPr>
            <w:r>
              <w:rPr>
                <w:rFonts w:eastAsia="黑体"/>
                <w:sz w:val="21"/>
              </w:rPr>
              <w:t>15</w:t>
            </w:r>
          </w:p>
        </w:tc>
        <w:tc>
          <w:tcPr>
            <w:tcW w:w="951" w:type="pct"/>
            <w:vAlign w:val="center"/>
          </w:tcPr>
          <w:p>
            <w:pPr>
              <w:pStyle w:val="8"/>
              <w:spacing w:line="300" w:lineRule="atLeast"/>
              <w:ind w:firstLine="0" w:firstLineChars="0"/>
              <w:jc w:val="center"/>
              <w:rPr>
                <w:rFonts w:eastAsia="黑体"/>
                <w:sz w:val="21"/>
              </w:rPr>
            </w:pPr>
            <w:r>
              <w:rPr>
                <w:rFonts w:eastAsia="黑体"/>
                <w:sz w:val="21"/>
              </w:rPr>
              <w:t>9</w:t>
            </w:r>
          </w:p>
        </w:tc>
        <w:tc>
          <w:tcPr>
            <w:tcW w:w="945" w:type="pct"/>
            <w:vAlign w:val="center"/>
          </w:tcPr>
          <w:p>
            <w:pPr>
              <w:pStyle w:val="8"/>
              <w:spacing w:line="300" w:lineRule="atLeast"/>
              <w:ind w:firstLine="0" w:firstLineChars="0"/>
              <w:jc w:val="center"/>
              <w:rPr>
                <w:rFonts w:eastAsia="黑体"/>
                <w:sz w:val="21"/>
              </w:rPr>
            </w:pPr>
            <w:r>
              <w:rPr>
                <w:rFonts w:eastAsia="黑体"/>
                <w:sz w:val="21"/>
              </w:rPr>
              <w:t>9</w:t>
            </w:r>
          </w:p>
        </w:tc>
        <w:tc>
          <w:tcPr>
            <w:tcW w:w="780" w:type="pct"/>
            <w:vAlign w:val="center"/>
          </w:tcPr>
          <w:p>
            <w:pPr>
              <w:pStyle w:val="8"/>
              <w:spacing w:line="300" w:lineRule="atLeast"/>
              <w:ind w:firstLine="0" w:firstLineChars="0"/>
              <w:jc w:val="center"/>
              <w:rPr>
                <w:rFonts w:eastAsia="黑体"/>
                <w:sz w:val="21"/>
              </w:rPr>
            </w:pPr>
            <w:r>
              <w:rPr>
                <w:rFonts w:eastAsia="黑体"/>
                <w:sz w:val="21"/>
              </w:rPr>
              <w:t>一</w:t>
            </w:r>
          </w:p>
        </w:tc>
        <w:tc>
          <w:tcPr>
            <w:tcW w:w="666" w:type="pct"/>
            <w:vAlign w:val="center"/>
          </w:tcPr>
          <w:p>
            <w:pPr>
              <w:pStyle w:val="8"/>
              <w:spacing w:line="300" w:lineRule="atLeast"/>
              <w:ind w:firstLine="0" w:firstLineChars="0"/>
              <w:jc w:val="center"/>
              <w:rPr>
                <w:rFonts w:eastAsia="黑体"/>
                <w:sz w:val="21"/>
              </w:rPr>
            </w:pPr>
            <w:r>
              <w:rPr>
                <w:rFonts w:eastAsia="黑体"/>
                <w:sz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pct"/>
            <w:vAlign w:val="center"/>
          </w:tcPr>
          <w:p>
            <w:pPr>
              <w:pStyle w:val="8"/>
              <w:spacing w:line="300" w:lineRule="atLeast"/>
              <w:ind w:firstLine="0" w:firstLineChars="0"/>
              <w:jc w:val="center"/>
              <w:rPr>
                <w:rFonts w:eastAsia="黑体"/>
                <w:sz w:val="21"/>
                <w:highlight w:val="cyan"/>
              </w:rPr>
            </w:pPr>
            <w:r>
              <w:rPr>
                <w:rFonts w:eastAsia="黑体"/>
                <w:sz w:val="21"/>
              </w:rPr>
              <w:t>明火设备</w:t>
            </w:r>
          </w:p>
        </w:tc>
        <w:tc>
          <w:tcPr>
            <w:tcW w:w="799" w:type="pct"/>
            <w:vAlign w:val="center"/>
          </w:tcPr>
          <w:p>
            <w:pPr>
              <w:pStyle w:val="8"/>
              <w:spacing w:line="300" w:lineRule="atLeast"/>
              <w:ind w:firstLine="0" w:firstLineChars="0"/>
              <w:jc w:val="center"/>
              <w:rPr>
                <w:rFonts w:eastAsia="黑体"/>
                <w:sz w:val="21"/>
                <w:highlight w:val="cyan"/>
              </w:rPr>
            </w:pPr>
            <w:r>
              <w:rPr>
                <w:rFonts w:eastAsia="黑体"/>
                <w:sz w:val="21"/>
              </w:rPr>
              <w:t>15</w:t>
            </w:r>
          </w:p>
        </w:tc>
        <w:tc>
          <w:tcPr>
            <w:tcW w:w="951" w:type="pct"/>
            <w:vAlign w:val="center"/>
          </w:tcPr>
          <w:p>
            <w:pPr>
              <w:pStyle w:val="8"/>
              <w:spacing w:line="300" w:lineRule="atLeast"/>
              <w:ind w:firstLine="0" w:firstLineChars="0"/>
              <w:jc w:val="center"/>
              <w:rPr>
                <w:rFonts w:eastAsia="黑体"/>
                <w:sz w:val="21"/>
                <w:highlight w:val="cyan"/>
              </w:rPr>
            </w:pPr>
            <w:r>
              <w:rPr>
                <w:rFonts w:eastAsia="黑体"/>
                <w:sz w:val="21"/>
              </w:rPr>
              <w:t>22.5</w:t>
            </w:r>
          </w:p>
        </w:tc>
        <w:tc>
          <w:tcPr>
            <w:tcW w:w="945" w:type="pct"/>
            <w:vAlign w:val="center"/>
          </w:tcPr>
          <w:p>
            <w:pPr>
              <w:pStyle w:val="8"/>
              <w:spacing w:line="300" w:lineRule="atLeast"/>
              <w:ind w:firstLine="0" w:firstLineChars="0"/>
              <w:jc w:val="center"/>
              <w:rPr>
                <w:rFonts w:eastAsia="黑体"/>
                <w:sz w:val="21"/>
                <w:highlight w:val="cyan"/>
              </w:rPr>
            </w:pPr>
            <w:r>
              <w:rPr>
                <w:rFonts w:eastAsia="黑体"/>
                <w:sz w:val="21"/>
              </w:rPr>
              <w:t>15</w:t>
            </w:r>
          </w:p>
        </w:tc>
        <w:tc>
          <w:tcPr>
            <w:tcW w:w="780" w:type="pct"/>
            <w:vAlign w:val="center"/>
          </w:tcPr>
          <w:p>
            <w:pPr>
              <w:pStyle w:val="8"/>
              <w:spacing w:line="300" w:lineRule="atLeast"/>
              <w:ind w:firstLine="0" w:firstLineChars="0"/>
              <w:jc w:val="center"/>
              <w:rPr>
                <w:rFonts w:eastAsia="黑体"/>
                <w:sz w:val="21"/>
                <w:highlight w:val="cyan"/>
              </w:rPr>
            </w:pPr>
            <w:r>
              <w:rPr>
                <w:rFonts w:eastAsia="黑体"/>
                <w:sz w:val="21"/>
              </w:rPr>
              <w:t>15</w:t>
            </w:r>
          </w:p>
        </w:tc>
        <w:tc>
          <w:tcPr>
            <w:tcW w:w="666" w:type="pct"/>
            <w:vAlign w:val="center"/>
          </w:tcPr>
          <w:p>
            <w:pPr>
              <w:pStyle w:val="8"/>
              <w:spacing w:line="300" w:lineRule="atLeast"/>
              <w:ind w:firstLine="0" w:firstLineChars="0"/>
              <w:jc w:val="center"/>
              <w:rPr>
                <w:rFonts w:eastAsia="黑体"/>
                <w:sz w:val="21"/>
              </w:rPr>
            </w:pPr>
            <w:r>
              <w:rPr>
                <w:rFonts w:eastAsia="黑体"/>
                <w:sz w:val="21"/>
              </w:rPr>
              <w:t>-</w:t>
            </w:r>
          </w:p>
        </w:tc>
      </w:tr>
    </w:tbl>
    <w:p>
      <w:pPr>
        <w:pStyle w:val="8"/>
        <w:ind w:firstLine="0" w:firstLineChars="0"/>
        <w:rPr>
          <w:rFonts w:eastAsia="黑体"/>
          <w:sz w:val="21"/>
        </w:rPr>
      </w:pPr>
      <w:r>
        <w:rPr>
          <w:rFonts w:eastAsia="黑体"/>
          <w:sz w:val="21"/>
        </w:rPr>
        <w:t>注：1氢气站内的氢气储存压力容器总</w:t>
      </w:r>
      <w:r>
        <w:rPr>
          <w:rFonts w:hint="eastAsia" w:eastAsia="黑体"/>
          <w:sz w:val="21"/>
        </w:rPr>
        <w:t>储氢量</w:t>
      </w:r>
      <w:r>
        <w:rPr>
          <w:rFonts w:eastAsia="黑体"/>
          <w:sz w:val="21"/>
        </w:rPr>
        <w:t>小于5000m</w:t>
      </w:r>
      <w:r>
        <w:rPr>
          <w:rFonts w:eastAsia="黑体"/>
          <w:sz w:val="21"/>
          <w:vertAlign w:val="superscript"/>
        </w:rPr>
        <w:t>3</w:t>
      </w:r>
      <w:r>
        <w:rPr>
          <w:rFonts w:eastAsia="黑体"/>
          <w:sz w:val="21"/>
        </w:rPr>
        <w:t>时，可按上表装置内氢气储存压力容器的规定进行布置。</w:t>
      </w:r>
    </w:p>
    <w:p>
      <w:pPr>
        <w:pStyle w:val="8"/>
        <w:ind w:firstLine="420"/>
        <w:rPr>
          <w:rFonts w:eastAsia="黑体"/>
          <w:sz w:val="21"/>
        </w:rPr>
      </w:pPr>
      <w:r>
        <w:rPr>
          <w:rFonts w:eastAsia="黑体"/>
          <w:sz w:val="21"/>
        </w:rPr>
        <w:t>2散发火花地点与其他设备防火间距同明火设备；表中 “一”表示无防火间距要求或执行相关规范。</w:t>
      </w:r>
    </w:p>
    <w:p>
      <w:pPr>
        <w:pStyle w:val="8"/>
        <w:ind w:firstLine="420"/>
        <w:rPr>
          <w:rFonts w:eastAsia="黑体"/>
          <w:sz w:val="21"/>
        </w:rPr>
      </w:pPr>
      <w:r>
        <w:rPr>
          <w:rFonts w:eastAsia="黑体"/>
          <w:sz w:val="21"/>
        </w:rPr>
        <w:t>3装置内固定车位的长管拖车按氢气储存压力容器执行。</w:t>
      </w:r>
    </w:p>
    <w:p>
      <w:pPr>
        <w:pStyle w:val="8"/>
        <w:ind w:firstLine="0" w:firstLineChars="0"/>
        <w:rPr>
          <w:sz w:val="24"/>
        </w:rPr>
      </w:pPr>
      <w:r>
        <w:rPr>
          <w:rFonts w:eastAsia="黑体"/>
          <w:sz w:val="24"/>
        </w:rPr>
        <w:t>6.0.3</w:t>
      </w:r>
      <w:r>
        <w:rPr>
          <w:sz w:val="24"/>
        </w:rPr>
        <w:t xml:space="preserve">  天然气转化制氢系统</w:t>
      </w:r>
      <w:r>
        <w:rPr>
          <w:rFonts w:hint="eastAsia"/>
          <w:sz w:val="24"/>
        </w:rPr>
        <w:t>等设置</w:t>
      </w:r>
      <w:r>
        <w:rPr>
          <w:sz w:val="24"/>
        </w:rPr>
        <w:t>的转化炉、变换装置等</w:t>
      </w:r>
      <w:r>
        <w:rPr>
          <w:rFonts w:hint="eastAsia"/>
          <w:sz w:val="24"/>
        </w:rPr>
        <w:t>设施</w:t>
      </w:r>
      <w:r>
        <w:rPr>
          <w:sz w:val="24"/>
        </w:rPr>
        <w:t>的工艺布置，应符合有关现行国家标准的</w:t>
      </w:r>
      <w:r>
        <w:rPr>
          <w:rFonts w:hint="eastAsia"/>
          <w:sz w:val="24"/>
        </w:rPr>
        <w:t>规定</w:t>
      </w:r>
      <w:r>
        <w:rPr>
          <w:sz w:val="24"/>
        </w:rPr>
        <w:t>。</w:t>
      </w:r>
    </w:p>
    <w:p>
      <w:pPr>
        <w:pStyle w:val="8"/>
        <w:ind w:firstLine="0" w:firstLineChars="0"/>
        <w:rPr>
          <w:rFonts w:eastAsia="黑体"/>
          <w:sz w:val="24"/>
        </w:rPr>
      </w:pPr>
      <w:r>
        <w:rPr>
          <w:rFonts w:eastAsia="黑体"/>
          <w:sz w:val="24"/>
        </w:rPr>
        <w:t>6.0.4  氢气站工艺装置内兼作消防车道的道路，应符合下列规定：</w:t>
      </w:r>
    </w:p>
    <w:p>
      <w:pPr>
        <w:pStyle w:val="8"/>
        <w:ind w:firstLine="480"/>
        <w:rPr>
          <w:rFonts w:eastAsia="黑体"/>
          <w:sz w:val="24"/>
        </w:rPr>
      </w:pPr>
      <w:r>
        <w:rPr>
          <w:rFonts w:eastAsia="黑体"/>
          <w:sz w:val="24"/>
        </w:rPr>
        <w:t>1道路应相互贯通。当装置宽度小于或等于60m，且装置外两侧设有消防车道时，可不设贯通式道路；</w:t>
      </w:r>
    </w:p>
    <w:p>
      <w:pPr>
        <w:pStyle w:val="8"/>
        <w:ind w:firstLine="480"/>
        <w:rPr>
          <w:rFonts w:eastAsia="黑体"/>
          <w:sz w:val="24"/>
        </w:rPr>
      </w:pPr>
      <w:r>
        <w:rPr>
          <w:rFonts w:eastAsia="黑体"/>
          <w:sz w:val="24"/>
        </w:rPr>
        <w:t>2道路的宽度不应小于4m，路面上的净空高度不应小于4.5m。</w:t>
      </w:r>
    </w:p>
    <w:p>
      <w:pPr>
        <w:pStyle w:val="8"/>
        <w:ind w:firstLine="0" w:firstLineChars="0"/>
        <w:rPr>
          <w:sz w:val="24"/>
        </w:rPr>
      </w:pPr>
      <w:r>
        <w:rPr>
          <w:rFonts w:eastAsia="黑体"/>
          <w:sz w:val="24"/>
        </w:rPr>
        <w:t>6.0.5</w:t>
      </w:r>
      <w:r>
        <w:rPr>
          <w:sz w:val="24"/>
        </w:rPr>
        <w:t xml:space="preserve">  当同一建筑物内布置有不同火灾危险性类别的房间时，其间的隔墙应为防火墙。</w:t>
      </w:r>
    </w:p>
    <w:p>
      <w:pPr>
        <w:pStyle w:val="8"/>
        <w:ind w:firstLine="480"/>
        <w:rPr>
          <w:sz w:val="24"/>
        </w:rPr>
      </w:pPr>
      <w:r>
        <w:rPr>
          <w:sz w:val="24"/>
        </w:rPr>
        <w:t>同一建筑物内，宜将人员集中的房间布置在火灾危险性较小的靠外墙或端部。</w:t>
      </w:r>
    </w:p>
    <w:p>
      <w:pPr>
        <w:pStyle w:val="8"/>
        <w:ind w:firstLine="0" w:firstLineChars="0"/>
        <w:rPr>
          <w:rFonts w:eastAsia="黑体"/>
          <w:sz w:val="24"/>
        </w:rPr>
      </w:pPr>
      <w:r>
        <w:rPr>
          <w:rFonts w:eastAsia="黑体"/>
          <w:sz w:val="24"/>
        </w:rPr>
        <w:t>6.0.6  氢气站内应将有爆炸危险的房间集中布置。有爆炸危险房间不应与无爆炸危险房间直接相通。必须相通时，应以走廊相连或设置双门斗。</w:t>
      </w:r>
    </w:p>
    <w:p>
      <w:pPr>
        <w:pStyle w:val="8"/>
        <w:ind w:firstLine="0" w:firstLineChars="0"/>
        <w:rPr>
          <w:sz w:val="24"/>
        </w:rPr>
      </w:pPr>
      <w:r>
        <w:rPr>
          <w:rFonts w:eastAsia="黑体"/>
          <w:sz w:val="24"/>
        </w:rPr>
        <w:t>6.0.7</w:t>
      </w:r>
      <w:r>
        <w:rPr>
          <w:sz w:val="24"/>
        </w:rPr>
        <w:t xml:space="preserve">  制氢间、氢气纯化间、氢气压缩机间的电气控制盘、仪表控制</w:t>
      </w:r>
      <w:r>
        <w:rPr>
          <w:rFonts w:hint="eastAsia"/>
          <w:sz w:val="24"/>
        </w:rPr>
        <w:t>盘的布置，应符合下列规定：</w:t>
      </w:r>
    </w:p>
    <w:p>
      <w:pPr>
        <w:pStyle w:val="8"/>
        <w:ind w:firstLine="480"/>
        <w:rPr>
          <w:sz w:val="24"/>
        </w:rPr>
      </w:pPr>
      <w:r>
        <w:rPr>
          <w:sz w:val="24"/>
        </w:rPr>
        <w:t>1</w:t>
      </w:r>
      <w:r>
        <w:rPr>
          <w:rFonts w:hint="eastAsia"/>
          <w:sz w:val="24"/>
        </w:rPr>
        <w:t>宜布置在相邻的控制室内；</w:t>
      </w:r>
    </w:p>
    <w:p>
      <w:pPr>
        <w:pStyle w:val="8"/>
        <w:ind w:firstLine="480"/>
        <w:rPr>
          <w:sz w:val="24"/>
        </w:rPr>
      </w:pPr>
      <w:r>
        <w:rPr>
          <w:sz w:val="24"/>
        </w:rPr>
        <w:t>2</w:t>
      </w:r>
      <w:r>
        <w:rPr>
          <w:rFonts w:hint="eastAsia"/>
          <w:sz w:val="24"/>
        </w:rPr>
        <w:t>控制室应以防火墙与上述房间隔开。</w:t>
      </w:r>
    </w:p>
    <w:p>
      <w:pPr>
        <w:pStyle w:val="8"/>
        <w:ind w:firstLine="0" w:firstLineChars="0"/>
        <w:rPr>
          <w:sz w:val="24"/>
        </w:rPr>
      </w:pPr>
      <w:r>
        <w:rPr>
          <w:rFonts w:eastAsia="黑体"/>
          <w:sz w:val="24"/>
        </w:rPr>
        <w:t>6.0.8</w:t>
      </w:r>
      <w:r>
        <w:rPr>
          <w:sz w:val="24"/>
        </w:rPr>
        <w:t xml:space="preserve">  固态储氢装置兼作氢气纯化时，</w:t>
      </w:r>
      <w:r>
        <w:rPr>
          <w:rFonts w:hint="eastAsia"/>
          <w:sz w:val="24"/>
        </w:rPr>
        <w:t>宜</w:t>
      </w:r>
      <w:r>
        <w:rPr>
          <w:sz w:val="24"/>
        </w:rPr>
        <w:t>与制氢间相邻</w:t>
      </w:r>
      <w:r>
        <w:rPr>
          <w:rFonts w:hint="eastAsia"/>
          <w:sz w:val="24"/>
        </w:rPr>
        <w:t>布置</w:t>
      </w:r>
      <w:r>
        <w:rPr>
          <w:sz w:val="24"/>
        </w:rPr>
        <w:t>。</w:t>
      </w:r>
    </w:p>
    <w:p>
      <w:pPr>
        <w:pStyle w:val="8"/>
        <w:ind w:firstLine="0" w:firstLineChars="0"/>
        <w:rPr>
          <w:sz w:val="24"/>
        </w:rPr>
      </w:pPr>
      <w:r>
        <w:rPr>
          <w:rFonts w:eastAsia="黑体"/>
          <w:sz w:val="24"/>
        </w:rPr>
        <w:t xml:space="preserve">6.0.9  </w:t>
      </w:r>
      <w:r>
        <w:rPr>
          <w:sz w:val="24"/>
        </w:rPr>
        <w:t>氢气站内同时设有</w:t>
      </w:r>
      <w:r>
        <w:rPr>
          <w:rFonts w:hint="eastAsia"/>
          <w:sz w:val="24"/>
        </w:rPr>
        <w:t>充装</w:t>
      </w:r>
      <w:r>
        <w:rPr>
          <w:sz w:val="24"/>
        </w:rPr>
        <w:t>氢气和</w:t>
      </w:r>
      <w:r>
        <w:rPr>
          <w:rFonts w:hint="eastAsia"/>
          <w:sz w:val="24"/>
        </w:rPr>
        <w:t>充装</w:t>
      </w:r>
      <w:r>
        <w:rPr>
          <w:sz w:val="24"/>
        </w:rPr>
        <w:t>氧气的装置时，</w:t>
      </w:r>
      <w:r>
        <w:rPr>
          <w:rFonts w:hint="eastAsia"/>
          <w:sz w:val="24"/>
        </w:rPr>
        <w:t>充装</w:t>
      </w:r>
      <w:r>
        <w:rPr>
          <w:sz w:val="24"/>
        </w:rPr>
        <w:t>间等的布置应符合下列规定：</w:t>
      </w:r>
    </w:p>
    <w:p>
      <w:pPr>
        <w:pStyle w:val="8"/>
        <w:ind w:firstLine="480"/>
        <w:rPr>
          <w:sz w:val="24"/>
        </w:rPr>
      </w:pPr>
      <w:r>
        <w:rPr>
          <w:sz w:val="24"/>
        </w:rPr>
        <w:t>1氢气</w:t>
      </w:r>
      <w:r>
        <w:rPr>
          <w:rFonts w:hint="eastAsia"/>
          <w:sz w:val="24"/>
        </w:rPr>
        <w:t>充装</w:t>
      </w:r>
      <w:r>
        <w:rPr>
          <w:sz w:val="24"/>
        </w:rPr>
        <w:t>间、实瓶间、空瓶间与氧气</w:t>
      </w:r>
      <w:r>
        <w:rPr>
          <w:rFonts w:hint="eastAsia"/>
          <w:sz w:val="24"/>
        </w:rPr>
        <w:t>充装</w:t>
      </w:r>
      <w:r>
        <w:rPr>
          <w:sz w:val="24"/>
        </w:rPr>
        <w:t>间、实瓶间、空瓶间</w:t>
      </w:r>
      <w:r>
        <w:rPr>
          <w:rFonts w:hint="eastAsia"/>
          <w:sz w:val="24"/>
        </w:rPr>
        <w:t>，</w:t>
      </w:r>
      <w:r>
        <w:rPr>
          <w:sz w:val="24"/>
        </w:rPr>
        <w:t>应分别设置；</w:t>
      </w:r>
    </w:p>
    <w:p>
      <w:pPr>
        <w:pStyle w:val="8"/>
        <w:ind w:firstLine="480"/>
        <w:rPr>
          <w:sz w:val="24"/>
        </w:rPr>
      </w:pPr>
      <w:r>
        <w:rPr>
          <w:sz w:val="24"/>
        </w:rPr>
        <w:t>2</w:t>
      </w:r>
      <w:r>
        <w:rPr>
          <w:rFonts w:hint="eastAsia"/>
          <w:sz w:val="24"/>
        </w:rPr>
        <w:t>充装</w:t>
      </w:r>
      <w:r>
        <w:rPr>
          <w:sz w:val="24"/>
        </w:rPr>
        <w:t>间可通过门洞与相应的空瓶间</w:t>
      </w:r>
      <w:r>
        <w:rPr>
          <w:rFonts w:hint="eastAsia"/>
          <w:sz w:val="24"/>
        </w:rPr>
        <w:t>、</w:t>
      </w:r>
      <w:r>
        <w:rPr>
          <w:sz w:val="24"/>
        </w:rPr>
        <w:t>实瓶间相通，并均应设独立的出入口。</w:t>
      </w:r>
    </w:p>
    <w:p>
      <w:pPr>
        <w:pStyle w:val="8"/>
        <w:ind w:firstLine="0" w:firstLineChars="0"/>
        <w:rPr>
          <w:sz w:val="24"/>
        </w:rPr>
      </w:pPr>
      <w:r>
        <w:rPr>
          <w:rFonts w:eastAsia="黑体"/>
          <w:sz w:val="24"/>
        </w:rPr>
        <w:t>6.0.10</w:t>
      </w:r>
      <w:r>
        <w:rPr>
          <w:sz w:val="24"/>
        </w:rPr>
        <w:t xml:space="preserve">  当氢气实瓶数量不超过60瓶时，实瓶、空瓶和氢气</w:t>
      </w:r>
      <w:r>
        <w:rPr>
          <w:rFonts w:hint="eastAsia"/>
          <w:sz w:val="24"/>
        </w:rPr>
        <w:t>充装台</w:t>
      </w:r>
      <w:r>
        <w:rPr>
          <w:sz w:val="24"/>
        </w:rPr>
        <w:t>或氢气汇流排，可布置在同一房间内，但实瓶、空瓶必须分开存放。</w:t>
      </w:r>
    </w:p>
    <w:p>
      <w:pPr>
        <w:pStyle w:val="8"/>
        <w:ind w:firstLine="0" w:firstLineChars="0"/>
        <w:rPr>
          <w:sz w:val="24"/>
        </w:rPr>
      </w:pPr>
      <w:r>
        <w:rPr>
          <w:rFonts w:eastAsia="黑体"/>
          <w:sz w:val="24"/>
        </w:rPr>
        <w:t>6.0.11</w:t>
      </w:r>
      <w:r>
        <w:rPr>
          <w:sz w:val="24"/>
        </w:rPr>
        <w:t xml:space="preserve">  在同一房间内，可设置制氢装置、氢气纯化装置</w:t>
      </w:r>
      <w:r>
        <w:rPr>
          <w:rFonts w:hint="eastAsia"/>
          <w:sz w:val="24"/>
        </w:rPr>
        <w:t>以及固体储氢装置</w:t>
      </w:r>
      <w:r>
        <w:rPr>
          <w:sz w:val="24"/>
        </w:rPr>
        <w:t>，若需设置氢气压缩机时，宜设有隔噪设施。</w:t>
      </w:r>
    </w:p>
    <w:p>
      <w:pPr>
        <w:pStyle w:val="8"/>
        <w:ind w:firstLine="0" w:firstLineChars="0"/>
        <w:rPr>
          <w:rFonts w:eastAsia="黑体"/>
          <w:sz w:val="24"/>
        </w:rPr>
      </w:pPr>
      <w:r>
        <w:rPr>
          <w:rFonts w:eastAsia="黑体"/>
          <w:sz w:val="24"/>
        </w:rPr>
        <w:t>6.0.12 当氢气站内同时设有氢气压缩机和氧气压缩机时，不得将氧气压缩机与氢气压缩机设置在同一房间内。</w:t>
      </w:r>
    </w:p>
    <w:p>
      <w:pPr>
        <w:pStyle w:val="8"/>
        <w:ind w:firstLine="0" w:firstLineChars="0"/>
        <w:rPr>
          <w:sz w:val="24"/>
        </w:rPr>
      </w:pPr>
      <w:r>
        <w:rPr>
          <w:rFonts w:eastAsia="黑体"/>
          <w:sz w:val="24"/>
        </w:rPr>
        <w:t>6.0.13</w:t>
      </w:r>
      <w:r>
        <w:rPr>
          <w:sz w:val="24"/>
        </w:rPr>
        <w:t xml:space="preserve">  碱性水电解制氢间内的主要通道不宜小于2.5m；电解槽之间的净距不宜小于2.0m；电解槽与墙之间的净距不宜小于1.5m。电解槽与其辅助设备及辅助设备之间的净距，应按技术功能确定。</w:t>
      </w:r>
    </w:p>
    <w:p>
      <w:pPr>
        <w:pStyle w:val="8"/>
        <w:ind w:firstLine="480"/>
        <w:rPr>
          <w:sz w:val="24"/>
        </w:rPr>
      </w:pPr>
      <w:r>
        <w:rPr>
          <w:sz w:val="24"/>
        </w:rPr>
        <w:t>PEM水电解制氢装置的平面布置的间距，应视规格、尺寸和检修要求确定。</w:t>
      </w:r>
    </w:p>
    <w:p>
      <w:pPr>
        <w:pStyle w:val="8"/>
        <w:ind w:firstLine="0" w:firstLineChars="0"/>
        <w:rPr>
          <w:sz w:val="24"/>
        </w:rPr>
      </w:pPr>
      <w:r>
        <w:rPr>
          <w:rFonts w:eastAsia="黑体"/>
          <w:sz w:val="24"/>
        </w:rPr>
        <w:t>6.0.14</w:t>
      </w:r>
      <w:r>
        <w:rPr>
          <w:sz w:val="24"/>
        </w:rPr>
        <w:t xml:space="preserve">  氢气压缩机与其他设备之间的净距应满足零部件抽出距离，氢气压缩机之间的净距不宜小于1.5m，与墙之间的净距不宜小于1.0m。</w:t>
      </w:r>
    </w:p>
    <w:p>
      <w:pPr>
        <w:pStyle w:val="8"/>
        <w:ind w:firstLine="480"/>
        <w:rPr>
          <w:sz w:val="24"/>
        </w:rPr>
      </w:pPr>
      <w:r>
        <w:rPr>
          <w:sz w:val="24"/>
        </w:rPr>
        <w:t>氢气压缩机与其附属设备之间的净距，可按工艺要求确定。</w:t>
      </w:r>
    </w:p>
    <w:p>
      <w:pPr>
        <w:pStyle w:val="8"/>
        <w:ind w:firstLine="0" w:firstLineChars="0"/>
        <w:rPr>
          <w:sz w:val="24"/>
        </w:rPr>
      </w:pPr>
      <w:r>
        <w:rPr>
          <w:rFonts w:eastAsia="黑体"/>
          <w:sz w:val="24"/>
        </w:rPr>
        <w:t>6.0.15</w:t>
      </w:r>
      <w:r>
        <w:rPr>
          <w:sz w:val="24"/>
        </w:rPr>
        <w:t xml:space="preserve">  氢气纯化间主要通道净宽度不宜小于1.5m。纯化设备之间及其与墙之间的净距均不宜小于1.0m。</w:t>
      </w:r>
    </w:p>
    <w:p>
      <w:pPr>
        <w:pStyle w:val="8"/>
        <w:ind w:firstLine="0" w:firstLineChars="0"/>
        <w:rPr>
          <w:sz w:val="24"/>
        </w:rPr>
      </w:pPr>
      <w:r>
        <w:rPr>
          <w:rFonts w:eastAsia="黑体"/>
          <w:sz w:val="24"/>
        </w:rPr>
        <w:t>6.0.16</w:t>
      </w:r>
      <w:r>
        <w:rPr>
          <w:sz w:val="24"/>
        </w:rPr>
        <w:t xml:space="preserve">  氢气灌瓶间、实瓶间、空瓶间以及氢气瓶集装格间、汇流排间的通道净宽度，应根据气瓶运输方式确定，但不宜小于1.5m；气瓶在灌充、贮存、运输时应有防止瓶倒的措施。</w:t>
      </w:r>
    </w:p>
    <w:p>
      <w:pPr>
        <w:pStyle w:val="8"/>
        <w:ind w:firstLine="0" w:firstLineChars="0"/>
        <w:rPr>
          <w:sz w:val="24"/>
        </w:rPr>
      </w:pPr>
      <w:r>
        <w:rPr>
          <w:rFonts w:eastAsia="黑体"/>
          <w:sz w:val="24"/>
        </w:rPr>
        <w:t>6.0.17</w:t>
      </w:r>
      <w:r>
        <w:rPr>
          <w:sz w:val="24"/>
        </w:rPr>
        <w:t xml:space="preserve">  氢气压缩机和电动机之间联轴器或皮带传动部位，应采取安全防护措施。当采用皮带传动时，应采取导除静电的措施。</w:t>
      </w:r>
    </w:p>
    <w:p>
      <w:pPr>
        <w:pStyle w:val="8"/>
        <w:ind w:firstLine="0" w:firstLineChars="0"/>
        <w:rPr>
          <w:sz w:val="24"/>
        </w:rPr>
      </w:pPr>
      <w:r>
        <w:rPr>
          <w:rFonts w:eastAsia="黑体"/>
          <w:sz w:val="24"/>
        </w:rPr>
        <w:t xml:space="preserve">6.0.18 </w:t>
      </w:r>
      <w:r>
        <w:rPr>
          <w:sz w:val="24"/>
        </w:rPr>
        <w:t xml:space="preserve"> 液氢罐车、液氢罐式集装箱车位的布置应符合下列规定：</w:t>
      </w:r>
    </w:p>
    <w:p>
      <w:pPr>
        <w:pStyle w:val="8"/>
        <w:ind w:firstLine="480"/>
        <w:rPr>
          <w:sz w:val="24"/>
        </w:rPr>
      </w:pPr>
      <w:r>
        <w:rPr>
          <w:sz w:val="24"/>
        </w:rPr>
        <w:t>1液氢罐车、液氢罐式集装箱应露天布置；</w:t>
      </w:r>
    </w:p>
    <w:p>
      <w:pPr>
        <w:pStyle w:val="8"/>
        <w:ind w:firstLine="480"/>
      </w:pPr>
      <w:r>
        <w:rPr>
          <w:sz w:val="24"/>
        </w:rPr>
        <w:t>2液氢罐车、液氢罐式集装箱</w:t>
      </w:r>
      <w:r>
        <w:rPr>
          <w:rFonts w:hint="eastAsia"/>
          <w:sz w:val="24"/>
        </w:rPr>
        <w:t>的</w:t>
      </w:r>
      <w:r>
        <w:rPr>
          <w:sz w:val="24"/>
        </w:rPr>
        <w:t>固定停放车位与站内设施之间的防火间距应按本</w:t>
      </w:r>
      <w:r>
        <w:rPr>
          <w:rFonts w:hint="eastAsia"/>
          <w:sz w:val="24"/>
        </w:rPr>
        <w:t>标准</w:t>
      </w:r>
      <w:r>
        <w:rPr>
          <w:sz w:val="24"/>
        </w:rPr>
        <w:t>表3.0.2-2中</w:t>
      </w:r>
      <w:r>
        <w:rPr>
          <w:rFonts w:hint="eastAsia"/>
          <w:sz w:val="24"/>
        </w:rPr>
        <w:t>液氢容器</w:t>
      </w:r>
      <w:r>
        <w:rPr>
          <w:sz w:val="24"/>
        </w:rPr>
        <w:t>的防火间距确定。</w:t>
      </w:r>
    </w:p>
    <w:p>
      <w:pPr>
        <w:pStyle w:val="8"/>
      </w:pPr>
    </w:p>
    <w:p>
      <w:pPr>
        <w:pStyle w:val="8"/>
        <w:ind w:firstLine="0" w:firstLineChars="0"/>
        <w:jc w:val="center"/>
        <w:outlineLvl w:val="0"/>
        <w:rPr>
          <w:sz w:val="30"/>
        </w:rPr>
      </w:pPr>
      <w:r>
        <w:br w:type="page"/>
      </w:r>
      <w:bookmarkStart w:id="11" w:name="_Toc108940934"/>
      <w:r>
        <w:rPr>
          <w:sz w:val="30"/>
        </w:rPr>
        <w:t>7 建筑结构</w:t>
      </w:r>
      <w:bookmarkEnd w:id="11"/>
    </w:p>
    <w:p>
      <w:pPr>
        <w:pStyle w:val="8"/>
      </w:pPr>
    </w:p>
    <w:p>
      <w:pPr>
        <w:pStyle w:val="8"/>
        <w:ind w:firstLine="0" w:firstLineChars="0"/>
        <w:rPr>
          <w:sz w:val="24"/>
        </w:rPr>
      </w:pPr>
      <w:r>
        <w:rPr>
          <w:rFonts w:eastAsia="黑体"/>
          <w:sz w:val="24"/>
        </w:rPr>
        <w:t>7.0.1</w:t>
      </w:r>
      <w:r>
        <w:rPr>
          <w:sz w:val="24"/>
        </w:rPr>
        <w:t xml:space="preserve">  氢气站、供氢站的耐火等级不应低于二级，并宜为单层建筑。</w:t>
      </w:r>
    </w:p>
    <w:p>
      <w:pPr>
        <w:pStyle w:val="8"/>
        <w:ind w:firstLine="0" w:firstLineChars="0"/>
        <w:rPr>
          <w:sz w:val="24"/>
        </w:rPr>
      </w:pPr>
      <w:r>
        <w:rPr>
          <w:rFonts w:eastAsia="黑体"/>
          <w:sz w:val="24"/>
        </w:rPr>
        <w:t xml:space="preserve">7.0.2 </w:t>
      </w:r>
      <w:r>
        <w:rPr>
          <w:sz w:val="24"/>
        </w:rPr>
        <w:t xml:space="preserve"> 有爆炸危险房间，宜采用钢筋混凝土柱承重的框架或排架结构。当采用钢柱承重时，钢柱应设防火保护，其耐火极限不得低于2.0h。</w:t>
      </w:r>
    </w:p>
    <w:p>
      <w:pPr>
        <w:pStyle w:val="8"/>
        <w:ind w:firstLine="0" w:firstLineChars="0"/>
        <w:rPr>
          <w:sz w:val="24"/>
        </w:rPr>
      </w:pPr>
      <w:r>
        <w:rPr>
          <w:rFonts w:eastAsia="黑体"/>
          <w:sz w:val="24"/>
        </w:rPr>
        <w:t>7.0.3  氢气站、供氢站内有爆炸危险房间应按现行国家标准《建筑设计防火规范》GB50016的规定，设置泄压设施。</w:t>
      </w:r>
    </w:p>
    <w:p>
      <w:pPr>
        <w:pStyle w:val="8"/>
        <w:ind w:firstLine="0" w:firstLineChars="0"/>
        <w:rPr>
          <w:sz w:val="24"/>
        </w:rPr>
      </w:pPr>
      <w:r>
        <w:rPr>
          <w:sz w:val="24"/>
        </w:rPr>
        <w:t>7.0.4氢气站、供氢站内的泄压设施应符合下列规定：</w:t>
      </w:r>
    </w:p>
    <w:p>
      <w:pPr>
        <w:pStyle w:val="8"/>
        <w:ind w:firstLine="480"/>
        <w:rPr>
          <w:sz w:val="24"/>
        </w:rPr>
      </w:pPr>
      <w:r>
        <w:rPr>
          <w:sz w:val="24"/>
        </w:rPr>
        <w:t>1</w:t>
      </w:r>
      <w:r>
        <w:rPr>
          <w:kern w:val="0"/>
          <w:sz w:val="24"/>
          <w:szCs w:val="21"/>
        </w:rPr>
        <w:t>泄压面积不得小于屋顶面积或最长一面墙面积的1.2倍</w:t>
      </w:r>
      <w:r>
        <w:rPr>
          <w:sz w:val="24"/>
        </w:rPr>
        <w:t>；</w:t>
      </w:r>
    </w:p>
    <w:p>
      <w:pPr>
        <w:pStyle w:val="8"/>
        <w:ind w:firstLine="480"/>
        <w:rPr>
          <w:sz w:val="24"/>
        </w:rPr>
      </w:pPr>
      <w:r>
        <w:rPr>
          <w:sz w:val="24"/>
        </w:rPr>
        <w:t>2泄压设施宜采用非燃烧体轻质屋盖作为泄压面积，易于泄压的门、窗、轻质墙体也可作为泄压面积；</w:t>
      </w:r>
    </w:p>
    <w:p>
      <w:pPr>
        <w:pStyle w:val="8"/>
        <w:ind w:firstLine="480"/>
        <w:rPr>
          <w:sz w:val="24"/>
        </w:rPr>
      </w:pPr>
      <w:r>
        <w:rPr>
          <w:sz w:val="24"/>
        </w:rPr>
        <w:t>3泄压设施的设置应避开人员密集场所和主要交通道路，并宜靠近有爆炸危险的部位。</w:t>
      </w:r>
    </w:p>
    <w:p>
      <w:pPr>
        <w:pStyle w:val="8"/>
        <w:ind w:firstLine="0" w:firstLineChars="0"/>
        <w:rPr>
          <w:sz w:val="24"/>
        </w:rPr>
      </w:pPr>
      <w:r>
        <w:rPr>
          <w:rFonts w:eastAsia="黑体"/>
          <w:sz w:val="24"/>
        </w:rPr>
        <w:t xml:space="preserve">7.0.5  </w:t>
      </w:r>
      <w:r>
        <w:rPr>
          <w:sz w:val="24"/>
        </w:rPr>
        <w:t>氢气瓶集装格间</w:t>
      </w:r>
      <w:r>
        <w:rPr>
          <w:rFonts w:hint="eastAsia"/>
          <w:sz w:val="24"/>
        </w:rPr>
        <w:t>、</w:t>
      </w:r>
      <w:r>
        <w:rPr>
          <w:sz w:val="24"/>
        </w:rPr>
        <w:t>固态储氢装置间以及氢气压缩机间等有爆炸危险房间宜采用半敞开或敞开式的建筑物。</w:t>
      </w:r>
    </w:p>
    <w:p>
      <w:pPr>
        <w:pStyle w:val="8"/>
        <w:ind w:firstLine="0" w:firstLineChars="0"/>
        <w:rPr>
          <w:sz w:val="24"/>
        </w:rPr>
      </w:pPr>
      <w:r>
        <w:rPr>
          <w:rFonts w:eastAsia="黑体"/>
          <w:sz w:val="24"/>
        </w:rPr>
        <w:t>7.0.6</w:t>
      </w:r>
      <w:r>
        <w:rPr>
          <w:sz w:val="24"/>
        </w:rPr>
        <w:t xml:space="preserve">  有爆炸危险房间的安全出入口，不应少于2个，其中1个应直通室外。但面积不超过100m</w:t>
      </w:r>
      <w:r>
        <w:rPr>
          <w:sz w:val="24"/>
          <w:vertAlign w:val="superscript"/>
        </w:rPr>
        <w:t>2</w:t>
      </w:r>
      <w:r>
        <w:rPr>
          <w:sz w:val="24"/>
        </w:rPr>
        <w:t>的房间，可只设1个直通室外出入口。</w:t>
      </w:r>
    </w:p>
    <w:p>
      <w:pPr>
        <w:pStyle w:val="8"/>
        <w:ind w:firstLine="0" w:firstLineChars="0"/>
        <w:rPr>
          <w:rFonts w:eastAsia="黑体"/>
          <w:sz w:val="24"/>
        </w:rPr>
      </w:pPr>
      <w:r>
        <w:rPr>
          <w:rFonts w:eastAsia="黑体"/>
          <w:sz w:val="24"/>
        </w:rPr>
        <w:t>7.0.7  有爆炸危险房间与无爆炸危险房间之间，应采用耐火极限不低于3h的不燃烧体实体墙分隔。当设置双门斗相通时，门的耐火极限不应低于1.2h。</w:t>
      </w:r>
    </w:p>
    <w:p>
      <w:pPr>
        <w:pStyle w:val="8"/>
        <w:ind w:firstLine="480"/>
        <w:rPr>
          <w:rFonts w:eastAsia="黑体"/>
          <w:sz w:val="24"/>
        </w:rPr>
      </w:pPr>
      <w:r>
        <w:rPr>
          <w:rFonts w:eastAsia="黑体"/>
          <w:sz w:val="24"/>
        </w:rPr>
        <w:t>有爆炸危险房间与无爆炸危险房间之间，当必须穿过管线时，应采用不燃烧体材料填塞空隙。</w:t>
      </w:r>
    </w:p>
    <w:p>
      <w:pPr>
        <w:pStyle w:val="8"/>
        <w:ind w:firstLine="0" w:firstLineChars="0"/>
        <w:rPr>
          <w:sz w:val="24"/>
        </w:rPr>
      </w:pPr>
      <w:r>
        <w:rPr>
          <w:rFonts w:eastAsia="黑体"/>
          <w:sz w:val="24"/>
        </w:rPr>
        <w:t>7.0.8</w:t>
      </w:r>
      <w:r>
        <w:rPr>
          <w:sz w:val="24"/>
        </w:rPr>
        <w:t xml:space="preserve">  有爆炸危险房间的门窗均应向外开启，并宜采用撞击时不产生火花的材料制作。</w:t>
      </w:r>
    </w:p>
    <w:p>
      <w:pPr>
        <w:pStyle w:val="8"/>
        <w:ind w:firstLine="0" w:firstLineChars="0"/>
        <w:rPr>
          <w:sz w:val="24"/>
        </w:rPr>
      </w:pPr>
      <w:r>
        <w:rPr>
          <w:rFonts w:eastAsia="黑体"/>
          <w:sz w:val="24"/>
        </w:rPr>
        <w:t>7.0.9</w:t>
      </w:r>
      <w:r>
        <w:rPr>
          <w:sz w:val="24"/>
        </w:rPr>
        <w:t xml:space="preserve">  氢气</w:t>
      </w:r>
      <w:r>
        <w:rPr>
          <w:rFonts w:hint="eastAsia"/>
          <w:sz w:val="24"/>
        </w:rPr>
        <w:t>充装</w:t>
      </w:r>
      <w:r>
        <w:rPr>
          <w:sz w:val="24"/>
        </w:rPr>
        <w:t>间、空瓶间、实瓶间以及氢气汇流排间，</w:t>
      </w:r>
      <w:r>
        <w:rPr>
          <w:rFonts w:hint="eastAsia"/>
          <w:sz w:val="24"/>
        </w:rPr>
        <w:t>依据钢瓶运输状况可</w:t>
      </w:r>
      <w:r>
        <w:rPr>
          <w:sz w:val="24"/>
        </w:rPr>
        <w:t>设置</w:t>
      </w:r>
      <w:r>
        <w:rPr>
          <w:rFonts w:hint="eastAsia"/>
          <w:sz w:val="24"/>
        </w:rPr>
        <w:t>钢</w:t>
      </w:r>
      <w:r>
        <w:rPr>
          <w:sz w:val="24"/>
        </w:rPr>
        <w:t>瓶装卸平台，其宽度不宜小于2m，高度应按</w:t>
      </w:r>
      <w:r>
        <w:rPr>
          <w:rFonts w:hint="eastAsia"/>
          <w:sz w:val="24"/>
        </w:rPr>
        <w:t>钢</w:t>
      </w:r>
      <w:r>
        <w:rPr>
          <w:sz w:val="24"/>
        </w:rPr>
        <w:t>瓶运输工具高度确定，宜高出室外地坪0.6～1.2m。</w:t>
      </w:r>
      <w:r>
        <w:rPr>
          <w:rFonts w:hint="eastAsia"/>
          <w:sz w:val="24"/>
        </w:rPr>
        <w:t>钢</w:t>
      </w:r>
      <w:r>
        <w:rPr>
          <w:sz w:val="24"/>
        </w:rPr>
        <w:t>瓶装卸平台应设置大于平台宽度的雨篷，雨篷及其支撑材料应为不燃烧体。</w:t>
      </w:r>
    </w:p>
    <w:p>
      <w:pPr>
        <w:pStyle w:val="8"/>
        <w:ind w:firstLine="0" w:firstLineChars="0"/>
        <w:rPr>
          <w:sz w:val="24"/>
        </w:rPr>
      </w:pPr>
      <w:r>
        <w:rPr>
          <w:rFonts w:eastAsia="黑体"/>
          <w:sz w:val="24"/>
        </w:rPr>
        <w:t>7.0.10</w:t>
      </w:r>
      <w:r>
        <w:rPr>
          <w:sz w:val="24"/>
        </w:rPr>
        <w:t xml:space="preserve">  氢气</w:t>
      </w:r>
      <w:r>
        <w:rPr>
          <w:rFonts w:hint="eastAsia"/>
          <w:sz w:val="24"/>
        </w:rPr>
        <w:t>充装</w:t>
      </w:r>
      <w:r>
        <w:rPr>
          <w:sz w:val="24"/>
        </w:rPr>
        <w:t>间、实瓶间、氢气汇流排间以及氢气瓶集装格间，应采取防止阳光直射气瓶的措施。</w:t>
      </w:r>
    </w:p>
    <w:p>
      <w:pPr>
        <w:pStyle w:val="8"/>
        <w:ind w:firstLine="0" w:firstLineChars="0"/>
        <w:rPr>
          <w:rFonts w:eastAsia="黑体"/>
          <w:sz w:val="24"/>
        </w:rPr>
      </w:pPr>
      <w:r>
        <w:rPr>
          <w:rFonts w:eastAsia="黑体"/>
          <w:sz w:val="24"/>
        </w:rPr>
        <w:t>7.0.11  氢气站、供氢站内有爆炸危险房间的上部空间，应通风良好。顶部内表面应平整，避免死角。</w:t>
      </w:r>
    </w:p>
    <w:p>
      <w:pPr>
        <w:pStyle w:val="8"/>
        <w:ind w:firstLine="0" w:firstLineChars="0"/>
        <w:rPr>
          <w:sz w:val="24"/>
        </w:rPr>
      </w:pPr>
      <w:r>
        <w:rPr>
          <w:rFonts w:eastAsia="黑体"/>
          <w:sz w:val="24"/>
        </w:rPr>
        <w:t>7.0.12</w:t>
      </w:r>
      <w:r>
        <w:rPr>
          <w:sz w:val="24"/>
        </w:rPr>
        <w:t xml:space="preserve">  制氢间、氢气压缩机间、氢气纯化间、氢气</w:t>
      </w:r>
      <w:r>
        <w:rPr>
          <w:rFonts w:hint="eastAsia"/>
          <w:sz w:val="24"/>
        </w:rPr>
        <w:t>充装</w:t>
      </w:r>
      <w:r>
        <w:rPr>
          <w:sz w:val="24"/>
        </w:rPr>
        <w:t>间等的建筑物跨度大于9.0m时，宜设天窗、排气孔。天窗、排气孔应设在最高处。</w:t>
      </w:r>
    </w:p>
    <w:p>
      <w:pPr>
        <w:pStyle w:val="8"/>
        <w:ind w:firstLine="0" w:firstLineChars="0"/>
        <w:rPr>
          <w:sz w:val="24"/>
        </w:rPr>
      </w:pPr>
      <w:r>
        <w:rPr>
          <w:rFonts w:eastAsia="黑体"/>
          <w:sz w:val="24"/>
        </w:rPr>
        <w:t>7.0.13</w:t>
      </w:r>
      <w:r>
        <w:rPr>
          <w:sz w:val="24"/>
        </w:rPr>
        <w:t xml:space="preserve">  制氢间的屋架下弦的高度，应满足设备安装和排热的要求，并不得低于5.0m。</w:t>
      </w:r>
    </w:p>
    <w:p>
      <w:pPr>
        <w:pStyle w:val="8"/>
        <w:ind w:firstLine="480"/>
        <w:rPr>
          <w:sz w:val="24"/>
        </w:rPr>
      </w:pPr>
      <w:r>
        <w:rPr>
          <w:sz w:val="24"/>
        </w:rPr>
        <w:t>氢气压缩机间、氢气纯化间屋架下弦的高度，应满足设备安装和维修的要求，并不得低于4.5m。</w:t>
      </w:r>
    </w:p>
    <w:p>
      <w:pPr>
        <w:pStyle w:val="8"/>
        <w:ind w:firstLine="480"/>
        <w:rPr>
          <w:sz w:val="24"/>
        </w:rPr>
      </w:pPr>
      <w:r>
        <w:rPr>
          <w:sz w:val="24"/>
        </w:rPr>
        <w:t>氢气</w:t>
      </w:r>
      <w:r>
        <w:rPr>
          <w:rFonts w:hint="eastAsia"/>
          <w:sz w:val="24"/>
        </w:rPr>
        <w:t>充装</w:t>
      </w:r>
      <w:r>
        <w:rPr>
          <w:sz w:val="24"/>
        </w:rPr>
        <w:t>间、氢气汇流排间屋架下弦的高度，不宜低于4.5m。氢气瓶集装格间屋架下弦的高度，应按起吊</w:t>
      </w:r>
      <w:r>
        <w:rPr>
          <w:rFonts w:hint="eastAsia"/>
          <w:sz w:val="24"/>
        </w:rPr>
        <w:t>运输</w:t>
      </w:r>
      <w:r>
        <w:rPr>
          <w:sz w:val="24"/>
        </w:rPr>
        <w:t>设备</w:t>
      </w:r>
      <w:r>
        <w:rPr>
          <w:rFonts w:hint="eastAsia"/>
          <w:sz w:val="24"/>
        </w:rPr>
        <w:t>等</w:t>
      </w:r>
      <w:r>
        <w:rPr>
          <w:sz w:val="24"/>
        </w:rPr>
        <w:t>确定，并不宜低于6m。</w:t>
      </w:r>
    </w:p>
    <w:p>
      <w:pPr>
        <w:pStyle w:val="8"/>
        <w:ind w:firstLine="0" w:firstLineChars="0"/>
        <w:rPr>
          <w:sz w:val="24"/>
        </w:rPr>
      </w:pPr>
      <w:r>
        <w:rPr>
          <w:sz w:val="24"/>
        </w:rPr>
        <w:t>7.0.14  液氢充</w:t>
      </w:r>
      <w:r>
        <w:rPr>
          <w:rFonts w:hint="eastAsia"/>
          <w:sz w:val="24"/>
        </w:rPr>
        <w:t>装</w:t>
      </w:r>
      <w:r>
        <w:rPr>
          <w:sz w:val="24"/>
        </w:rPr>
        <w:t>设施应设置在室外或通风良好的罩棚下方。液氢储存压力容器、增压泵、汽化器等装置宜设置于室外。汽化器的安装位置应考虑空气冷却所形成的低温气体对其他设备产生影响。</w:t>
      </w:r>
    </w:p>
    <w:p>
      <w:pPr>
        <w:pStyle w:val="8"/>
        <w:ind w:firstLine="0" w:firstLineChars="0"/>
        <w:rPr>
          <w:sz w:val="24"/>
        </w:rPr>
      </w:pPr>
      <w:r>
        <w:rPr>
          <w:sz w:val="24"/>
        </w:rPr>
        <w:t>7.0.15  在低温氢气可能积聚的区域，应采用不发火导静电地面。不发火导静电地面应符合现行国家标准《导（防）静电地面设计规范》GB50515的规定。</w:t>
      </w:r>
    </w:p>
    <w:p>
      <w:pPr>
        <w:pStyle w:val="8"/>
        <w:ind w:firstLine="0" w:firstLineChars="0"/>
        <w:rPr>
          <w:sz w:val="24"/>
        </w:rPr>
      </w:pPr>
      <w:r>
        <w:rPr>
          <w:sz w:val="24"/>
        </w:rPr>
        <w:t>7.0.16  设置氢液化装置、液氢</w:t>
      </w:r>
      <w:r>
        <w:rPr>
          <w:rFonts w:hint="eastAsia"/>
          <w:sz w:val="24"/>
        </w:rPr>
        <w:t>灌装</w:t>
      </w:r>
      <w:r>
        <w:rPr>
          <w:sz w:val="24"/>
        </w:rPr>
        <w:t>装置、液氢贮存装置、液氢增压泵、液氢汽化装置区域的地面，应采用不发火地面。</w:t>
      </w:r>
    </w:p>
    <w:p>
      <w:pPr>
        <w:pStyle w:val="8"/>
        <w:ind w:firstLine="484" w:firstLineChars="202"/>
        <w:rPr>
          <w:sz w:val="24"/>
        </w:rPr>
      </w:pPr>
      <w:r>
        <w:rPr>
          <w:rFonts w:hint="eastAsia"/>
          <w:sz w:val="24"/>
        </w:rPr>
        <w:t>设置高压氢气储存压力容器、氢气长管拖车、氢气管束式集装箱的区域以及氢气充装间、氢气汇流排间、氢气集装格间、氢气实瓶间和空瓶间等的地面，应采用不发火地面。</w:t>
      </w:r>
    </w:p>
    <w:p>
      <w:pPr>
        <w:pStyle w:val="8"/>
        <w:ind w:firstLine="0" w:firstLineChars="0"/>
        <w:rPr>
          <w:sz w:val="24"/>
        </w:rPr>
      </w:pPr>
      <w:r>
        <w:rPr>
          <w:sz w:val="24"/>
        </w:rPr>
        <w:t>7.0.17  位于液氢管道下方的道路或区域的地面，应采用不燃材料建造。</w:t>
      </w:r>
    </w:p>
    <w:p>
      <w:pPr>
        <w:pStyle w:val="8"/>
        <w:ind w:firstLine="0" w:firstLineChars="0"/>
        <w:jc w:val="center"/>
        <w:outlineLvl w:val="0"/>
        <w:rPr>
          <w:sz w:val="30"/>
        </w:rPr>
      </w:pPr>
      <w:r>
        <w:br w:type="page"/>
      </w:r>
      <w:bookmarkStart w:id="12" w:name="_Toc108940935"/>
      <w:r>
        <w:rPr>
          <w:sz w:val="30"/>
        </w:rPr>
        <w:t>8 电气及仪表控制</w:t>
      </w:r>
      <w:bookmarkEnd w:id="12"/>
    </w:p>
    <w:p>
      <w:pPr>
        <w:pStyle w:val="8"/>
      </w:pPr>
    </w:p>
    <w:p>
      <w:pPr>
        <w:pStyle w:val="8"/>
        <w:ind w:firstLine="0" w:firstLineChars="0"/>
        <w:rPr>
          <w:sz w:val="24"/>
        </w:rPr>
      </w:pPr>
      <w:r>
        <w:rPr>
          <w:rFonts w:eastAsia="黑体"/>
          <w:sz w:val="24"/>
        </w:rPr>
        <w:t>8.0.1</w:t>
      </w:r>
      <w:r>
        <w:rPr>
          <w:sz w:val="24"/>
        </w:rPr>
        <w:t xml:space="preserve">  氢气站、供氢站的供电，按现行国家标准《供配电系统设计规范》GB50052规定的负荷分级，除中断供氢将造成较大损失者外，宜为三级负荷。</w:t>
      </w:r>
    </w:p>
    <w:p>
      <w:pPr>
        <w:pStyle w:val="8"/>
        <w:ind w:firstLine="0" w:firstLineChars="0"/>
        <w:rPr>
          <w:rFonts w:eastAsia="黑体"/>
          <w:sz w:val="24"/>
        </w:rPr>
      </w:pPr>
      <w:r>
        <w:rPr>
          <w:rFonts w:eastAsia="黑体"/>
          <w:sz w:val="24"/>
        </w:rPr>
        <w:t>8.0.2  有爆炸危险房间或区域内的电气设施，应符合现行国家标准《爆炸危险环境电力装置设计规范》GB 50058的规定。</w:t>
      </w:r>
    </w:p>
    <w:p>
      <w:pPr>
        <w:pStyle w:val="8"/>
        <w:ind w:firstLine="0" w:firstLineChars="0"/>
        <w:rPr>
          <w:rFonts w:eastAsia="黑体"/>
          <w:sz w:val="24"/>
        </w:rPr>
      </w:pPr>
      <w:r>
        <w:rPr>
          <w:rFonts w:eastAsia="黑体"/>
          <w:sz w:val="24"/>
        </w:rPr>
        <w:t>8.0.3  有爆炸危险环境的电气设施选型，不应低于氢气爆炸混合物的级别、组别（ⅡCT1）。有爆炸危险环境的电气设计和电气设备、线路接地，应按现行国家标准《爆炸危险环境电力装置设计规范》GB 50058的规定执行。</w:t>
      </w:r>
    </w:p>
    <w:p>
      <w:pPr>
        <w:pStyle w:val="8"/>
        <w:ind w:firstLine="0" w:firstLineChars="0"/>
        <w:rPr>
          <w:sz w:val="24"/>
        </w:rPr>
      </w:pPr>
      <w:r>
        <w:rPr>
          <w:rFonts w:eastAsia="黑体"/>
          <w:sz w:val="24"/>
        </w:rPr>
        <w:t>8.0.4</w:t>
      </w:r>
      <w:r>
        <w:rPr>
          <w:sz w:val="24"/>
        </w:rPr>
        <w:t xml:space="preserve">  有爆炸危险</w:t>
      </w:r>
      <w:r>
        <w:rPr>
          <w:rFonts w:hint="eastAsia"/>
          <w:sz w:val="24"/>
        </w:rPr>
        <w:t>环境</w:t>
      </w:r>
      <w:r>
        <w:rPr>
          <w:sz w:val="24"/>
        </w:rPr>
        <w:t>的照明应采用防爆灯具，其光源宜采用</w:t>
      </w:r>
      <w:r>
        <w:rPr>
          <w:rFonts w:hint="eastAsia"/>
          <w:sz w:val="24"/>
        </w:rPr>
        <w:t>LED</w:t>
      </w:r>
      <w:r>
        <w:rPr>
          <w:sz w:val="24"/>
        </w:rPr>
        <w:t>等高效光源。灯具宜安装在较低处，不得</w:t>
      </w:r>
      <w:r>
        <w:rPr>
          <w:rFonts w:hint="eastAsia"/>
          <w:sz w:val="24"/>
        </w:rPr>
        <w:t>安</w:t>
      </w:r>
      <w:r>
        <w:rPr>
          <w:sz w:val="24"/>
        </w:rPr>
        <w:t>装在氢气释放源的正上方。</w:t>
      </w:r>
    </w:p>
    <w:p>
      <w:pPr>
        <w:pStyle w:val="8"/>
        <w:ind w:firstLine="480"/>
        <w:rPr>
          <w:sz w:val="24"/>
        </w:rPr>
      </w:pPr>
      <w:r>
        <w:rPr>
          <w:sz w:val="24"/>
        </w:rPr>
        <w:t>氢气站内宜设置应急照明。</w:t>
      </w:r>
    </w:p>
    <w:p>
      <w:pPr>
        <w:pStyle w:val="8"/>
        <w:ind w:firstLine="0" w:firstLineChars="0"/>
        <w:rPr>
          <w:rFonts w:eastAsia="黑体"/>
          <w:sz w:val="24"/>
        </w:rPr>
      </w:pPr>
      <w:r>
        <w:rPr>
          <w:rFonts w:eastAsia="黑体"/>
          <w:sz w:val="24"/>
        </w:rPr>
        <w:t>8.0.5  有爆炸危险环境的电缆及导线敷设，应符合现行国家标准《电力工程电缆设计</w:t>
      </w:r>
      <w:r>
        <w:rPr>
          <w:rFonts w:hint="eastAsia" w:eastAsia="黑体"/>
          <w:sz w:val="24"/>
        </w:rPr>
        <w:t>标准</w:t>
      </w:r>
      <w:r>
        <w:rPr>
          <w:rFonts w:eastAsia="黑体"/>
          <w:sz w:val="24"/>
        </w:rPr>
        <w:t>》GB50217的规定。电缆</w:t>
      </w:r>
      <w:r>
        <w:rPr>
          <w:rFonts w:hint="eastAsia" w:eastAsia="黑体"/>
          <w:sz w:val="24"/>
        </w:rPr>
        <w:t>或</w:t>
      </w:r>
      <w:r>
        <w:rPr>
          <w:rFonts w:eastAsia="黑体"/>
          <w:sz w:val="24"/>
        </w:rPr>
        <w:t>导线的保护钢管，</w:t>
      </w:r>
      <w:r>
        <w:rPr>
          <w:rFonts w:hint="eastAsia" w:eastAsia="黑体"/>
          <w:sz w:val="24"/>
        </w:rPr>
        <w:t>应</w:t>
      </w:r>
      <w:r>
        <w:rPr>
          <w:rFonts w:eastAsia="黑体"/>
          <w:sz w:val="24"/>
        </w:rPr>
        <w:t>在下列各处作隔离密封：</w:t>
      </w:r>
    </w:p>
    <w:p>
      <w:pPr>
        <w:pStyle w:val="8"/>
        <w:ind w:firstLine="480"/>
        <w:rPr>
          <w:rFonts w:eastAsia="黑体"/>
          <w:sz w:val="24"/>
        </w:rPr>
      </w:pPr>
      <w:r>
        <w:rPr>
          <w:rFonts w:eastAsia="黑体"/>
          <w:sz w:val="24"/>
        </w:rPr>
        <w:t>1电缆或导线引向电气设备接头部件前；</w:t>
      </w:r>
    </w:p>
    <w:p>
      <w:pPr>
        <w:pStyle w:val="8"/>
        <w:ind w:firstLine="480"/>
        <w:rPr>
          <w:rFonts w:eastAsia="黑体"/>
          <w:sz w:val="24"/>
        </w:rPr>
      </w:pPr>
      <w:r>
        <w:rPr>
          <w:rFonts w:eastAsia="黑体"/>
          <w:sz w:val="24"/>
        </w:rPr>
        <w:t>2相邻的环境之间。</w:t>
      </w:r>
    </w:p>
    <w:p>
      <w:pPr>
        <w:pStyle w:val="8"/>
        <w:ind w:firstLine="0" w:firstLineChars="0"/>
        <w:rPr>
          <w:rFonts w:eastAsia="黑体"/>
          <w:sz w:val="24"/>
        </w:rPr>
      </w:pPr>
      <w:r>
        <w:rPr>
          <w:rFonts w:eastAsia="黑体"/>
          <w:sz w:val="24"/>
        </w:rPr>
        <w:t>8.0.6  有爆炸危险</w:t>
      </w:r>
      <w:r>
        <w:rPr>
          <w:rFonts w:hint="eastAsia" w:eastAsia="黑体"/>
          <w:sz w:val="24"/>
        </w:rPr>
        <w:t>环境</w:t>
      </w:r>
      <w:r>
        <w:rPr>
          <w:rFonts w:eastAsia="黑体"/>
          <w:sz w:val="24"/>
        </w:rPr>
        <w:t>内，应在易积聚氢气的位置设置氢气浓度超限报警装置，并应</w:t>
      </w:r>
      <w:r>
        <w:rPr>
          <w:rFonts w:hint="eastAsia" w:eastAsia="黑体"/>
          <w:sz w:val="24"/>
        </w:rPr>
        <w:t>符合</w:t>
      </w:r>
      <w:r>
        <w:rPr>
          <w:rFonts w:eastAsia="黑体"/>
          <w:sz w:val="24"/>
        </w:rPr>
        <w:t>下列规定</w:t>
      </w:r>
      <w:r>
        <w:rPr>
          <w:rFonts w:hint="eastAsia" w:eastAsia="黑体"/>
          <w:sz w:val="24"/>
        </w:rPr>
        <w:t>：</w:t>
      </w:r>
    </w:p>
    <w:p>
      <w:pPr>
        <w:pStyle w:val="8"/>
        <w:ind w:firstLine="480"/>
        <w:rPr>
          <w:rFonts w:eastAsia="黑体"/>
          <w:sz w:val="24"/>
          <w:lang w:val="en-GB"/>
        </w:rPr>
      </w:pPr>
      <w:r>
        <w:rPr>
          <w:rFonts w:eastAsia="黑体"/>
          <w:sz w:val="24"/>
        </w:rPr>
        <w:t>1 当空气中氢气浓度达</w:t>
      </w:r>
      <w:r>
        <w:rPr>
          <w:rFonts w:eastAsia="黑体"/>
          <w:sz w:val="24"/>
          <w:lang w:val="en-GB"/>
        </w:rPr>
        <w:t>0.4%（体积比）时，应报警并记录；</w:t>
      </w:r>
    </w:p>
    <w:p>
      <w:pPr>
        <w:pStyle w:val="8"/>
        <w:ind w:firstLine="480"/>
        <w:rPr>
          <w:rFonts w:eastAsia="黑体"/>
          <w:sz w:val="24"/>
          <w:lang w:val="en-GB"/>
        </w:rPr>
      </w:pPr>
      <w:r>
        <w:rPr>
          <w:rFonts w:eastAsia="黑体"/>
          <w:sz w:val="24"/>
          <w:lang w:val="en-GB"/>
        </w:rPr>
        <w:t>2 当空气中氢气浓度达到1%（体积比）时，应启动相应的事故排风风机。</w:t>
      </w:r>
    </w:p>
    <w:p>
      <w:pPr>
        <w:pStyle w:val="8"/>
        <w:ind w:firstLine="0" w:firstLineChars="0"/>
        <w:rPr>
          <w:sz w:val="24"/>
        </w:rPr>
      </w:pPr>
      <w:r>
        <w:rPr>
          <w:rFonts w:eastAsia="黑体"/>
          <w:sz w:val="24"/>
        </w:rPr>
        <w:t>8.0.7</w:t>
      </w:r>
      <w:r>
        <w:rPr>
          <w:sz w:val="24"/>
        </w:rPr>
        <w:t xml:space="preserve">  氢气站应根据氢气生产系统的需要设置下列分析仪器：</w:t>
      </w:r>
    </w:p>
    <w:p>
      <w:pPr>
        <w:pStyle w:val="8"/>
        <w:ind w:firstLine="480"/>
        <w:rPr>
          <w:sz w:val="24"/>
        </w:rPr>
      </w:pPr>
      <w:r>
        <w:rPr>
          <w:sz w:val="24"/>
        </w:rPr>
        <w:t>1氢气纯度分析仪；</w:t>
      </w:r>
    </w:p>
    <w:p>
      <w:pPr>
        <w:pStyle w:val="8"/>
        <w:ind w:firstLine="480"/>
        <w:rPr>
          <w:sz w:val="24"/>
        </w:rPr>
      </w:pPr>
      <w:r>
        <w:rPr>
          <w:sz w:val="24"/>
        </w:rPr>
        <w:t>2纯氢、高纯氢气中杂质含量分析仪；</w:t>
      </w:r>
    </w:p>
    <w:p>
      <w:pPr>
        <w:pStyle w:val="8"/>
        <w:ind w:firstLine="480"/>
        <w:rPr>
          <w:sz w:val="24"/>
        </w:rPr>
      </w:pPr>
      <w:r>
        <w:rPr>
          <w:sz w:val="24"/>
        </w:rPr>
        <w:t>3原料气纯度或组分分析仪；</w:t>
      </w:r>
    </w:p>
    <w:p>
      <w:pPr>
        <w:pStyle w:val="8"/>
        <w:ind w:firstLine="480"/>
        <w:rPr>
          <w:rFonts w:eastAsia="黑体"/>
          <w:sz w:val="24"/>
        </w:rPr>
      </w:pPr>
      <w:r>
        <w:rPr>
          <w:rFonts w:eastAsia="黑体"/>
          <w:sz w:val="24"/>
        </w:rPr>
        <w:t>4对水电解制氢装置，应设置热导式氧中氢含量及氢中氧含量在线分析仪。</w:t>
      </w:r>
    </w:p>
    <w:p>
      <w:pPr>
        <w:pStyle w:val="8"/>
        <w:ind w:firstLine="480"/>
        <w:rPr>
          <w:rFonts w:eastAsia="黑体"/>
          <w:sz w:val="24"/>
        </w:rPr>
      </w:pPr>
      <w:r>
        <w:rPr>
          <w:rFonts w:eastAsia="黑体"/>
          <w:sz w:val="24"/>
        </w:rPr>
        <w:t>回收氧气时，应设氧中氢含量超量报警装置。当氧中氢浓度超过1.0%时，自动报警；当氧中氢浓度超过2.0%时，报警并自动切断水电解制氢装置的电源。</w:t>
      </w:r>
    </w:p>
    <w:p>
      <w:pPr>
        <w:pStyle w:val="8"/>
        <w:ind w:firstLine="480"/>
        <w:rPr>
          <w:sz w:val="24"/>
        </w:rPr>
      </w:pPr>
      <w:r>
        <w:rPr>
          <w:sz w:val="24"/>
        </w:rPr>
        <w:t>5根据</w:t>
      </w:r>
      <w:r>
        <w:rPr>
          <w:rFonts w:hint="eastAsia"/>
          <w:sz w:val="24"/>
        </w:rPr>
        <w:t>各种制氢工艺的</w:t>
      </w:r>
      <w:r>
        <w:rPr>
          <w:sz w:val="24"/>
        </w:rPr>
        <w:t>要</w:t>
      </w:r>
      <w:r>
        <w:rPr>
          <w:rFonts w:hint="eastAsia"/>
          <w:sz w:val="24"/>
        </w:rPr>
        <w:t>求，应</w:t>
      </w:r>
      <w:r>
        <w:rPr>
          <w:sz w:val="24"/>
        </w:rPr>
        <w:t>设制氢过程分段气体浓度分析仪。</w:t>
      </w:r>
    </w:p>
    <w:p>
      <w:pPr>
        <w:pStyle w:val="8"/>
        <w:ind w:firstLine="0" w:firstLineChars="0"/>
        <w:rPr>
          <w:sz w:val="24"/>
        </w:rPr>
      </w:pPr>
      <w:r>
        <w:rPr>
          <w:rFonts w:eastAsia="黑体"/>
          <w:sz w:val="24"/>
        </w:rPr>
        <w:t>8.0.8</w:t>
      </w:r>
      <w:r>
        <w:rPr>
          <w:sz w:val="24"/>
        </w:rPr>
        <w:t xml:space="preserve">  氢气站、供氢站应根据需要设置下列计量仪器：</w:t>
      </w:r>
    </w:p>
    <w:p>
      <w:pPr>
        <w:pStyle w:val="8"/>
        <w:ind w:firstLine="480"/>
        <w:rPr>
          <w:sz w:val="24"/>
        </w:rPr>
      </w:pPr>
      <w:r>
        <w:rPr>
          <w:sz w:val="24"/>
        </w:rPr>
        <w:t>1原料气体流量计；</w:t>
      </w:r>
    </w:p>
    <w:p>
      <w:pPr>
        <w:pStyle w:val="8"/>
        <w:ind w:firstLine="480"/>
        <w:rPr>
          <w:sz w:val="24"/>
        </w:rPr>
      </w:pPr>
      <w:r>
        <w:rPr>
          <w:sz w:val="24"/>
        </w:rPr>
        <w:t>2产品氢气或对外供氢的氢气流量计。</w:t>
      </w:r>
    </w:p>
    <w:p>
      <w:pPr>
        <w:pStyle w:val="8"/>
        <w:ind w:firstLine="0" w:firstLineChars="0"/>
        <w:rPr>
          <w:sz w:val="24"/>
        </w:rPr>
      </w:pPr>
      <w:r>
        <w:rPr>
          <w:rFonts w:eastAsia="黑体"/>
          <w:sz w:val="24"/>
        </w:rPr>
        <w:t>8.0.9</w:t>
      </w:r>
      <w:r>
        <w:rPr>
          <w:sz w:val="24"/>
        </w:rPr>
        <w:t xml:space="preserve">  氢气站采用水电解制氢装置时，水电解槽的直流电源的配置，应符合下列规定：</w:t>
      </w:r>
    </w:p>
    <w:p>
      <w:pPr>
        <w:pStyle w:val="8"/>
        <w:ind w:firstLine="480"/>
        <w:rPr>
          <w:sz w:val="24"/>
        </w:rPr>
      </w:pPr>
      <w:r>
        <w:rPr>
          <w:sz w:val="24"/>
        </w:rPr>
        <w:t>1每台水电解槽，</w:t>
      </w:r>
      <w:r>
        <w:rPr>
          <w:rFonts w:hint="eastAsia"/>
          <w:sz w:val="24"/>
        </w:rPr>
        <w:t>宜</w:t>
      </w:r>
      <w:r>
        <w:rPr>
          <w:sz w:val="24"/>
        </w:rPr>
        <w:t>采用单独的晶闸管整流器或硅整流器供电。整流器应有调压功能，宜具备自动稳流功能；</w:t>
      </w:r>
    </w:p>
    <w:p>
      <w:pPr>
        <w:pStyle w:val="8"/>
        <w:ind w:firstLine="480"/>
        <w:rPr>
          <w:sz w:val="24"/>
        </w:rPr>
      </w:pPr>
      <w:r>
        <w:rPr>
          <w:sz w:val="24"/>
        </w:rPr>
        <w:t>2整流器应配有专用整流变压器。三相整流变压器绕组的一侧，应按三角形（</w:t>
      </w:r>
      <w:r>
        <w:rPr>
          <w:rFonts w:ascii="Cambria Math" w:hAnsi="Cambria Math" w:cs="Cambria Math"/>
          <w:sz w:val="24"/>
        </w:rPr>
        <w:t>△</w:t>
      </w:r>
      <w:r>
        <w:rPr>
          <w:sz w:val="24"/>
        </w:rPr>
        <w:t>）接线；</w:t>
      </w:r>
    </w:p>
    <w:p>
      <w:pPr>
        <w:pStyle w:val="8"/>
        <w:ind w:firstLine="480"/>
        <w:rPr>
          <w:sz w:val="24"/>
        </w:rPr>
      </w:pPr>
      <w:r>
        <w:rPr>
          <w:sz w:val="24"/>
        </w:rPr>
        <w:t>3整流装置对电网的谐波干扰，应按国家限制谐波的有关规定执行。</w:t>
      </w:r>
    </w:p>
    <w:p>
      <w:pPr>
        <w:pStyle w:val="8"/>
        <w:ind w:firstLine="0" w:firstLineChars="0"/>
        <w:rPr>
          <w:sz w:val="24"/>
        </w:rPr>
      </w:pPr>
      <w:r>
        <w:rPr>
          <w:rFonts w:eastAsia="黑体"/>
          <w:sz w:val="24"/>
        </w:rPr>
        <w:t>8.0.10</w:t>
      </w:r>
      <w:r>
        <w:rPr>
          <w:sz w:val="24"/>
        </w:rPr>
        <w:t xml:space="preserve">  水电解制氢系统的直流电源的设置，应符合下列规定：</w:t>
      </w:r>
    </w:p>
    <w:p>
      <w:pPr>
        <w:pStyle w:val="8"/>
        <w:ind w:firstLine="480"/>
        <w:rPr>
          <w:sz w:val="24"/>
        </w:rPr>
      </w:pPr>
      <w:r>
        <w:rPr>
          <w:sz w:val="24"/>
        </w:rPr>
        <w:t>1高压整流变压器和饱和电抗器，应设在单独的变压器室内。变压器室的设计，应符合现行国家标准《10kV及以下变电所设计规范》GB 50053的规定；</w:t>
      </w:r>
    </w:p>
    <w:p>
      <w:pPr>
        <w:pStyle w:val="8"/>
        <w:ind w:firstLine="480"/>
        <w:rPr>
          <w:sz w:val="24"/>
        </w:rPr>
      </w:pPr>
      <w:r>
        <w:rPr>
          <w:sz w:val="24"/>
        </w:rPr>
        <w:t>2整流变压器室远离高压配电室时，高压进线侧宜设负荷开关或隔离开关；</w:t>
      </w:r>
    </w:p>
    <w:p>
      <w:pPr>
        <w:pStyle w:val="8"/>
        <w:ind w:firstLine="480"/>
        <w:rPr>
          <w:sz w:val="24"/>
        </w:rPr>
      </w:pPr>
      <w:r>
        <w:rPr>
          <w:sz w:val="24"/>
        </w:rPr>
        <w:t>3整流器或成套低压整流装置，应设在与电解间相邻的电源室内。电源室的设计，应符合现行国家标准《低压配电设计规范》GB 50054的规定；</w:t>
      </w:r>
    </w:p>
    <w:p>
      <w:pPr>
        <w:pStyle w:val="8"/>
        <w:ind w:firstLine="480"/>
        <w:rPr>
          <w:sz w:val="24"/>
        </w:rPr>
      </w:pPr>
      <w:r>
        <w:rPr>
          <w:sz w:val="24"/>
        </w:rPr>
        <w:t>4直流线路应采用铜导体，宜敷设在较低处或地沟内。当必须采用裸母线时，应设有防止产生火花的措施；</w:t>
      </w:r>
    </w:p>
    <w:p>
      <w:pPr>
        <w:pStyle w:val="8"/>
        <w:ind w:firstLine="480"/>
        <w:rPr>
          <w:sz w:val="24"/>
        </w:rPr>
      </w:pPr>
      <w:r>
        <w:rPr>
          <w:sz w:val="24"/>
        </w:rPr>
        <w:t>5电解间应设置直流电源的紧急断电按钮，按钮</w:t>
      </w:r>
      <w:r>
        <w:rPr>
          <w:rFonts w:hint="eastAsia"/>
          <w:sz w:val="24"/>
        </w:rPr>
        <w:t>应</w:t>
      </w:r>
      <w:r>
        <w:rPr>
          <w:sz w:val="24"/>
        </w:rPr>
        <w:t>设在便于操作处。</w:t>
      </w:r>
    </w:p>
    <w:p>
      <w:pPr>
        <w:pStyle w:val="8"/>
        <w:ind w:firstLine="0" w:firstLineChars="0"/>
        <w:rPr>
          <w:sz w:val="24"/>
        </w:rPr>
      </w:pPr>
      <w:r>
        <w:rPr>
          <w:rFonts w:eastAsia="黑体"/>
          <w:sz w:val="24"/>
        </w:rPr>
        <w:t>8.0.11</w:t>
      </w:r>
      <w:r>
        <w:rPr>
          <w:sz w:val="24"/>
        </w:rPr>
        <w:t xml:space="preserve">  氢气</w:t>
      </w:r>
      <w:r>
        <w:rPr>
          <w:rFonts w:hint="eastAsia"/>
          <w:sz w:val="24"/>
        </w:rPr>
        <w:t>充装</w:t>
      </w:r>
      <w:r>
        <w:rPr>
          <w:sz w:val="24"/>
        </w:rPr>
        <w:t>设施应与氢气压缩机间之间设有联络装置。</w:t>
      </w:r>
    </w:p>
    <w:p>
      <w:pPr>
        <w:pStyle w:val="8"/>
        <w:ind w:firstLine="0" w:firstLineChars="0"/>
        <w:rPr>
          <w:sz w:val="24"/>
        </w:rPr>
      </w:pPr>
      <w:r>
        <w:rPr>
          <w:rFonts w:eastAsia="黑体"/>
          <w:sz w:val="24"/>
        </w:rPr>
        <w:t xml:space="preserve">8.0.12 </w:t>
      </w:r>
      <w:r>
        <w:rPr>
          <w:sz w:val="24"/>
        </w:rPr>
        <w:t xml:space="preserve"> 氢气站、供氢站，应设下列主要压力检测项目：</w:t>
      </w:r>
    </w:p>
    <w:p>
      <w:pPr>
        <w:pStyle w:val="8"/>
        <w:ind w:firstLine="480"/>
        <w:rPr>
          <w:sz w:val="24"/>
        </w:rPr>
      </w:pPr>
      <w:r>
        <w:rPr>
          <w:sz w:val="24"/>
        </w:rPr>
        <w:t>1站房出口氢气压力；</w:t>
      </w:r>
    </w:p>
    <w:p>
      <w:pPr>
        <w:pStyle w:val="8"/>
        <w:ind w:firstLine="480"/>
        <w:rPr>
          <w:sz w:val="24"/>
        </w:rPr>
      </w:pPr>
      <w:r>
        <w:rPr>
          <w:sz w:val="24"/>
        </w:rPr>
        <w:t>2氢气储存压力容器压力；</w:t>
      </w:r>
    </w:p>
    <w:p>
      <w:pPr>
        <w:pStyle w:val="8"/>
        <w:ind w:firstLine="480"/>
        <w:rPr>
          <w:sz w:val="24"/>
        </w:rPr>
      </w:pPr>
      <w:r>
        <w:rPr>
          <w:sz w:val="24"/>
        </w:rPr>
        <w:t>3制氢装置出口压力显示、调节；</w:t>
      </w:r>
    </w:p>
    <w:p>
      <w:pPr>
        <w:pStyle w:val="8"/>
        <w:ind w:firstLine="480"/>
        <w:rPr>
          <w:sz w:val="24"/>
        </w:rPr>
      </w:pPr>
      <w:r>
        <w:rPr>
          <w:sz w:val="24"/>
        </w:rPr>
        <w:t>4水电解制氢装置的氢侧、氧侧压力和压差控制、调节；</w:t>
      </w:r>
    </w:p>
    <w:p>
      <w:pPr>
        <w:pStyle w:val="8"/>
        <w:ind w:firstLine="480"/>
        <w:rPr>
          <w:sz w:val="24"/>
        </w:rPr>
      </w:pPr>
      <w:r>
        <w:rPr>
          <w:sz w:val="24"/>
        </w:rPr>
        <w:t>5变压吸附提纯氢系统的每个吸附器的压力显示、吸附压力调节；</w:t>
      </w:r>
    </w:p>
    <w:p>
      <w:pPr>
        <w:pStyle w:val="8"/>
        <w:ind w:left="560" w:firstLine="0" w:firstLineChars="0"/>
        <w:rPr>
          <w:sz w:val="24"/>
        </w:rPr>
      </w:pPr>
      <w:r>
        <w:rPr>
          <w:sz w:val="24"/>
        </w:rPr>
        <w:t>6氢气压缩机进气、排气压力；</w:t>
      </w:r>
    </w:p>
    <w:p>
      <w:pPr>
        <w:pStyle w:val="8"/>
        <w:ind w:left="560" w:firstLine="0" w:firstLineChars="0"/>
        <w:rPr>
          <w:sz w:val="24"/>
        </w:rPr>
      </w:pPr>
      <w:r>
        <w:rPr>
          <w:sz w:val="24"/>
        </w:rPr>
        <w:t>7氢气</w:t>
      </w:r>
      <w:r>
        <w:rPr>
          <w:rFonts w:hint="eastAsia"/>
          <w:sz w:val="24"/>
        </w:rPr>
        <w:t>充装</w:t>
      </w:r>
      <w:r>
        <w:rPr>
          <w:sz w:val="24"/>
        </w:rPr>
        <w:t>设施的氢气压力显示、记录；</w:t>
      </w:r>
    </w:p>
    <w:p>
      <w:pPr>
        <w:pStyle w:val="8"/>
        <w:ind w:left="560" w:firstLine="0" w:firstLineChars="0"/>
        <w:rPr>
          <w:sz w:val="24"/>
        </w:rPr>
      </w:pPr>
      <w:r>
        <w:rPr>
          <w:sz w:val="24"/>
        </w:rPr>
        <w:t>8根据氢气生产工艺要求，尚需设置相应的压力调节装置。</w:t>
      </w:r>
    </w:p>
    <w:p>
      <w:pPr>
        <w:pStyle w:val="8"/>
        <w:ind w:firstLine="0" w:firstLineChars="0"/>
        <w:rPr>
          <w:sz w:val="24"/>
        </w:rPr>
      </w:pPr>
      <w:r>
        <w:rPr>
          <w:rFonts w:eastAsia="黑体"/>
          <w:sz w:val="24"/>
        </w:rPr>
        <w:t>8.0.13</w:t>
      </w:r>
      <w:r>
        <w:rPr>
          <w:sz w:val="24"/>
        </w:rPr>
        <w:t xml:space="preserve">  氢气站、供氢站，应设下列主要温度检测项目：</w:t>
      </w:r>
    </w:p>
    <w:p>
      <w:pPr>
        <w:pStyle w:val="8"/>
        <w:ind w:firstLine="480"/>
        <w:rPr>
          <w:sz w:val="24"/>
        </w:rPr>
      </w:pPr>
      <w:r>
        <w:rPr>
          <w:sz w:val="24"/>
        </w:rPr>
        <w:t>1制氢装置出口气体温度显示；</w:t>
      </w:r>
    </w:p>
    <w:p>
      <w:pPr>
        <w:pStyle w:val="8"/>
        <w:ind w:firstLine="480"/>
        <w:rPr>
          <w:sz w:val="24"/>
        </w:rPr>
      </w:pPr>
      <w:r>
        <w:rPr>
          <w:sz w:val="24"/>
        </w:rPr>
        <w:t>2水电解槽（分离器）温度显示、调节；</w:t>
      </w:r>
    </w:p>
    <w:p>
      <w:pPr>
        <w:pStyle w:val="8"/>
        <w:ind w:firstLine="480"/>
        <w:rPr>
          <w:sz w:val="24"/>
        </w:rPr>
      </w:pPr>
      <w:r>
        <w:rPr>
          <w:sz w:val="24"/>
        </w:rPr>
        <w:t>3变压吸附器入口气体温度显示；</w:t>
      </w:r>
    </w:p>
    <w:p>
      <w:pPr>
        <w:pStyle w:val="8"/>
        <w:ind w:firstLine="480"/>
        <w:rPr>
          <w:sz w:val="24"/>
        </w:rPr>
      </w:pPr>
      <w:r>
        <w:rPr>
          <w:sz w:val="24"/>
        </w:rPr>
        <w:t>4氢气压缩机入口、出口氢气温度显示。</w:t>
      </w:r>
    </w:p>
    <w:p>
      <w:pPr>
        <w:pStyle w:val="8"/>
        <w:ind w:firstLine="0" w:firstLineChars="0"/>
        <w:rPr>
          <w:sz w:val="24"/>
        </w:rPr>
      </w:pPr>
      <w:r>
        <w:rPr>
          <w:rFonts w:eastAsia="黑体"/>
          <w:sz w:val="24"/>
        </w:rPr>
        <w:t>8.0.14</w:t>
      </w:r>
      <w:r>
        <w:rPr>
          <w:sz w:val="24"/>
        </w:rPr>
        <w:t xml:space="preserve">  氢气站、供氢站应设自动控制系统；需要时可按无人值守要求配置。</w:t>
      </w:r>
    </w:p>
    <w:p>
      <w:pPr>
        <w:pStyle w:val="8"/>
        <w:ind w:firstLine="0" w:firstLineChars="0"/>
      </w:pPr>
    </w:p>
    <w:p>
      <w:pPr>
        <w:pStyle w:val="8"/>
        <w:spacing w:line="360" w:lineRule="auto"/>
        <w:ind w:firstLine="0" w:firstLineChars="0"/>
        <w:jc w:val="center"/>
        <w:outlineLvl w:val="0"/>
        <w:rPr>
          <w:sz w:val="30"/>
        </w:rPr>
      </w:pPr>
      <w:r>
        <w:br w:type="page"/>
      </w:r>
      <w:bookmarkStart w:id="13" w:name="_Toc108940936"/>
      <w:r>
        <w:rPr>
          <w:sz w:val="30"/>
        </w:rPr>
        <w:t>9 防雷</w:t>
      </w:r>
      <w:r>
        <w:rPr>
          <w:rFonts w:hint="eastAsia"/>
          <w:sz w:val="30"/>
        </w:rPr>
        <w:t>、</w:t>
      </w:r>
      <w:r>
        <w:rPr>
          <w:sz w:val="30"/>
        </w:rPr>
        <w:t>防静电</w:t>
      </w:r>
      <w:bookmarkEnd w:id="13"/>
    </w:p>
    <w:p>
      <w:pPr>
        <w:spacing w:line="360" w:lineRule="auto"/>
        <w:jc w:val="center"/>
        <w:outlineLvl w:val="1"/>
        <w:rPr>
          <w:sz w:val="24"/>
          <w:szCs w:val="28"/>
        </w:rPr>
      </w:pPr>
      <w:bookmarkStart w:id="14" w:name="_Toc108940937"/>
      <w:r>
        <w:rPr>
          <w:rFonts w:hint="eastAsia"/>
          <w:sz w:val="24"/>
          <w:szCs w:val="28"/>
        </w:rPr>
        <w:t>9.1防雷</w:t>
      </w:r>
      <w:bookmarkEnd w:id="14"/>
    </w:p>
    <w:p>
      <w:pPr>
        <w:pStyle w:val="8"/>
        <w:ind w:firstLine="0" w:firstLineChars="0"/>
        <w:rPr>
          <w:sz w:val="24"/>
        </w:rPr>
      </w:pPr>
      <w:r>
        <w:rPr>
          <w:rFonts w:eastAsia="黑体"/>
          <w:sz w:val="24"/>
        </w:rPr>
        <w:t>9.1.1</w:t>
      </w:r>
      <w:r>
        <w:rPr>
          <w:sz w:val="24"/>
        </w:rPr>
        <w:t xml:space="preserve">  氢气站、供氢站应按现行国家标准《建筑物防雷设计规范》GB50057、《建筑物电子信息系统防雷技术规范》GB50343和《交流电气装置的接地设计规范》GB/T50065的要求设置防雷、接地设施。</w:t>
      </w:r>
    </w:p>
    <w:p>
      <w:pPr>
        <w:pStyle w:val="8"/>
        <w:ind w:firstLine="0" w:firstLineChars="0"/>
        <w:rPr>
          <w:rFonts w:eastAsia="黑体"/>
          <w:sz w:val="24"/>
        </w:rPr>
      </w:pPr>
      <w:r>
        <w:rPr>
          <w:rFonts w:eastAsia="黑体"/>
          <w:sz w:val="24"/>
        </w:rPr>
        <w:t>9.1.2  氢气站、供氢站的防雷分类不应低于第二类防雷建筑，防雷设施应有防直击雷、防闪电感应和防闪电波侵入措施。</w:t>
      </w:r>
    </w:p>
    <w:p>
      <w:pPr>
        <w:pStyle w:val="8"/>
        <w:ind w:firstLine="480"/>
        <w:rPr>
          <w:rFonts w:eastAsia="黑体"/>
          <w:sz w:val="24"/>
        </w:rPr>
      </w:pPr>
      <w:r>
        <w:rPr>
          <w:rFonts w:eastAsia="黑体"/>
          <w:sz w:val="24"/>
        </w:rPr>
        <w:t>防直击雷的防雷接闪器应使被保护的建筑物、构筑物、通风风帽、氢气放散管等</w:t>
      </w:r>
      <w:r>
        <w:rPr>
          <w:rFonts w:hint="eastAsia" w:eastAsia="黑体"/>
          <w:sz w:val="24"/>
        </w:rPr>
        <w:t>突</w:t>
      </w:r>
      <w:r>
        <w:rPr>
          <w:rFonts w:eastAsia="黑体"/>
          <w:sz w:val="24"/>
        </w:rPr>
        <w:t>出屋面的物体均处于其保护范围内。</w:t>
      </w:r>
    </w:p>
    <w:p>
      <w:pPr>
        <w:pStyle w:val="8"/>
        <w:ind w:firstLine="0" w:firstLineChars="0"/>
        <w:rPr>
          <w:rFonts w:eastAsia="黑体"/>
          <w:sz w:val="24"/>
        </w:rPr>
      </w:pPr>
      <w:r>
        <w:rPr>
          <w:rFonts w:eastAsia="黑体"/>
          <w:sz w:val="24"/>
        </w:rPr>
        <w:t>9.1.3</w:t>
      </w:r>
      <w:r>
        <w:rPr>
          <w:sz w:val="24"/>
        </w:rPr>
        <w:t xml:space="preserve">  氢气罐等有爆炸危险的露天钢质封闭容器，当其壁厚大于4mm时可不装设接闪器。但应有可靠接地，接地点不应小于两处；两接地点间距不宜大于30m，冲击接地电阻不应大于10Ω。</w:t>
      </w:r>
    </w:p>
    <w:p>
      <w:pPr>
        <w:pStyle w:val="8"/>
        <w:ind w:firstLine="0" w:firstLineChars="0"/>
        <w:rPr>
          <w:sz w:val="24"/>
        </w:rPr>
      </w:pPr>
      <w:r>
        <w:rPr>
          <w:rFonts w:eastAsia="黑体"/>
          <w:sz w:val="24"/>
        </w:rPr>
        <w:t>9.1.4</w:t>
      </w:r>
      <w:r>
        <w:rPr>
          <w:sz w:val="24"/>
        </w:rPr>
        <w:t xml:space="preserve">  氢气站、供氢站内的金属设备外壳、管道、构架、风管、电缆金属外</w:t>
      </w:r>
      <w:r>
        <w:rPr>
          <w:rFonts w:hint="eastAsia"/>
          <w:sz w:val="24"/>
        </w:rPr>
        <w:t>壳</w:t>
      </w:r>
      <w:r>
        <w:rPr>
          <w:sz w:val="24"/>
        </w:rPr>
        <w:t>、钢屋架、金属窗、门和</w:t>
      </w:r>
      <w:r>
        <w:rPr>
          <w:rFonts w:hint="eastAsia"/>
          <w:sz w:val="24"/>
        </w:rPr>
        <w:t>突</w:t>
      </w:r>
      <w:r>
        <w:rPr>
          <w:sz w:val="24"/>
        </w:rPr>
        <w:t>出屋面的放散管、金属风管等应接到防闪电感应接地装置上。</w:t>
      </w:r>
    </w:p>
    <w:p>
      <w:pPr>
        <w:pStyle w:val="8"/>
        <w:ind w:firstLine="480"/>
        <w:rPr>
          <w:sz w:val="24"/>
        </w:rPr>
      </w:pPr>
      <w:r>
        <w:rPr>
          <w:sz w:val="24"/>
        </w:rPr>
        <w:t>平行敷设的管道、构架和电缆金属外皮等长金属物，净距小于100mm时，间隔不应大于30m采用金属跨接线</w:t>
      </w:r>
      <w:r>
        <w:rPr>
          <w:rFonts w:hint="eastAsia"/>
          <w:sz w:val="24"/>
        </w:rPr>
        <w:t>；</w:t>
      </w:r>
      <w:r>
        <w:rPr>
          <w:sz w:val="24"/>
        </w:rPr>
        <w:t>交叉净距小于100mm时，其交叉处也应金属线跨接。管道的弯头、阀门、法兰等连接处的过渡电阻大于0.03Ω时</w:t>
      </w:r>
      <w:r>
        <w:rPr>
          <w:rFonts w:hint="eastAsia"/>
          <w:sz w:val="24"/>
        </w:rPr>
        <w:t>，</w:t>
      </w:r>
      <w:r>
        <w:rPr>
          <w:sz w:val="24"/>
        </w:rPr>
        <w:t>连接处应以金属线跨接。</w:t>
      </w:r>
    </w:p>
    <w:p>
      <w:pPr>
        <w:pStyle w:val="8"/>
        <w:ind w:firstLine="0" w:firstLineChars="0"/>
        <w:rPr>
          <w:rFonts w:eastAsia="黑体"/>
          <w:sz w:val="24"/>
        </w:rPr>
      </w:pPr>
      <w:r>
        <w:rPr>
          <w:rFonts w:eastAsia="黑体"/>
          <w:sz w:val="24"/>
        </w:rPr>
        <w:t>9.1.5</w:t>
      </w:r>
      <w:r>
        <w:rPr>
          <w:sz w:val="24"/>
        </w:rPr>
        <w:t xml:space="preserve">  </w:t>
      </w:r>
      <w:r>
        <w:rPr>
          <w:rFonts w:eastAsia="黑体"/>
          <w:sz w:val="24"/>
        </w:rPr>
        <w:t>架空敷设氢气管道在进出建筑物处应与防闪电感应的接地装置相连。架空氢气管道距建筑100m内管道，每隔25m接地一次，其冲击接地电阻不应大于30Ω。埋地氢气管道</w:t>
      </w:r>
      <w:r>
        <w:rPr>
          <w:rFonts w:hint="eastAsia" w:eastAsia="黑体"/>
          <w:sz w:val="24"/>
        </w:rPr>
        <w:t>，</w:t>
      </w:r>
      <w:r>
        <w:rPr>
          <w:rFonts w:eastAsia="黑体"/>
          <w:sz w:val="24"/>
        </w:rPr>
        <w:t>在进出建筑物处亦应与防闪电感应的接地装置相连</w:t>
      </w:r>
      <w:r>
        <w:rPr>
          <w:rFonts w:hint="eastAsia" w:eastAsia="黑体"/>
          <w:sz w:val="24"/>
        </w:rPr>
        <w:t>。</w:t>
      </w:r>
    </w:p>
    <w:p>
      <w:pPr>
        <w:pStyle w:val="8"/>
        <w:ind w:firstLine="0" w:firstLineChars="0"/>
        <w:rPr>
          <w:sz w:val="24"/>
        </w:rPr>
      </w:pPr>
      <w:r>
        <w:rPr>
          <w:rFonts w:eastAsia="黑体"/>
          <w:sz w:val="24"/>
        </w:rPr>
        <w:t xml:space="preserve">9.1.6  </w:t>
      </w:r>
      <w:r>
        <w:rPr>
          <w:sz w:val="24"/>
        </w:rPr>
        <w:t>氢气站、供氢站中电气、信息系统防雷击电磁脉冲应符合现行国家标准《建筑物防雷设计规范》</w:t>
      </w:r>
      <w:r>
        <w:rPr>
          <w:rFonts w:hint="eastAsia"/>
          <w:sz w:val="24"/>
        </w:rPr>
        <w:t>GB50057</w:t>
      </w:r>
      <w:r>
        <w:rPr>
          <w:sz w:val="24"/>
        </w:rPr>
        <w:t>和《建筑物电子信息系统防雷技术规范</w:t>
      </w:r>
      <w:r>
        <w:rPr>
          <w:rFonts w:hint="eastAsia"/>
          <w:sz w:val="24"/>
        </w:rPr>
        <w:t>》</w:t>
      </w:r>
      <w:r>
        <w:rPr>
          <w:sz w:val="24"/>
        </w:rPr>
        <w:t>GB50343的要求。</w:t>
      </w:r>
    </w:p>
    <w:p>
      <w:pPr>
        <w:pStyle w:val="8"/>
        <w:ind w:firstLine="480"/>
        <w:rPr>
          <w:sz w:val="24"/>
        </w:rPr>
      </w:pPr>
      <w:r>
        <w:rPr>
          <w:sz w:val="24"/>
        </w:rPr>
        <w:t>进入氢气站、供氢站的电线电缆、通信电缆应设置相应的浪涌保护设施。</w:t>
      </w:r>
    </w:p>
    <w:p>
      <w:pPr>
        <w:pStyle w:val="8"/>
        <w:ind w:firstLine="0" w:firstLineChars="0"/>
        <w:rPr>
          <w:sz w:val="24"/>
        </w:rPr>
      </w:pPr>
      <w:r>
        <w:rPr>
          <w:rFonts w:eastAsia="黑体"/>
          <w:sz w:val="24"/>
        </w:rPr>
        <w:t xml:space="preserve">9.1.7  </w:t>
      </w:r>
      <w:r>
        <w:rPr>
          <w:sz w:val="24"/>
        </w:rPr>
        <w:t>氢气站、供氢站内按用途有功能接地、保护接地。宜采用共用接地装置，其接地电阻应采用各种接地要求的最小值。当防雷保护接地专设接地体时，电阻值不应大于10Ω。</w:t>
      </w:r>
    </w:p>
    <w:p>
      <w:pPr>
        <w:pStyle w:val="8"/>
        <w:ind w:firstLine="0" w:firstLineChars="0"/>
        <w:rPr>
          <w:sz w:val="24"/>
        </w:rPr>
      </w:pPr>
      <w:r>
        <w:rPr>
          <w:rFonts w:eastAsia="黑体"/>
          <w:sz w:val="24"/>
        </w:rPr>
        <w:t xml:space="preserve">9.1.8  </w:t>
      </w:r>
      <w:r>
        <w:rPr>
          <w:sz w:val="24"/>
        </w:rPr>
        <w:t>氢气站、供氢站的有爆炸危险环境内应设置等电位联结，所有外部可导电部件应接入等电位系统。</w:t>
      </w:r>
    </w:p>
    <w:p>
      <w:pPr>
        <w:spacing w:line="360" w:lineRule="auto"/>
        <w:jc w:val="center"/>
        <w:outlineLvl w:val="1"/>
        <w:rPr>
          <w:sz w:val="24"/>
          <w:szCs w:val="28"/>
        </w:rPr>
      </w:pPr>
      <w:bookmarkStart w:id="15" w:name="_Toc108940938"/>
      <w:r>
        <w:rPr>
          <w:sz w:val="24"/>
          <w:szCs w:val="28"/>
        </w:rPr>
        <w:t>9.2防</w:t>
      </w:r>
      <w:r>
        <w:rPr>
          <w:rFonts w:hint="eastAsia"/>
          <w:sz w:val="24"/>
          <w:szCs w:val="28"/>
        </w:rPr>
        <w:t>静电</w:t>
      </w:r>
      <w:bookmarkEnd w:id="15"/>
    </w:p>
    <w:p>
      <w:pPr>
        <w:pStyle w:val="8"/>
        <w:ind w:firstLine="0" w:firstLineChars="0"/>
        <w:rPr>
          <w:sz w:val="24"/>
        </w:rPr>
      </w:pPr>
      <w:r>
        <w:rPr>
          <w:rFonts w:eastAsia="黑体"/>
          <w:sz w:val="24"/>
        </w:rPr>
        <w:t xml:space="preserve">9.2.1  </w:t>
      </w:r>
      <w:r>
        <w:rPr>
          <w:rFonts w:hint="eastAsia"/>
          <w:sz w:val="24"/>
        </w:rPr>
        <w:t>氢气站、供氢站有爆炸危险环境内可能产生静电危险的物体应采取防静电接地措施。金属物体应采用金属导体直接接地，金属以外的静电导体及亚导体应作间接接地。</w:t>
      </w:r>
    </w:p>
    <w:p>
      <w:pPr>
        <w:pStyle w:val="8"/>
        <w:ind w:firstLine="0" w:firstLineChars="0"/>
        <w:rPr>
          <w:sz w:val="24"/>
        </w:rPr>
      </w:pPr>
      <w:r>
        <w:rPr>
          <w:rFonts w:eastAsia="黑体"/>
          <w:sz w:val="24"/>
        </w:rPr>
        <w:t xml:space="preserve">9.2.2  </w:t>
      </w:r>
      <w:r>
        <w:rPr>
          <w:sz w:val="24"/>
        </w:rPr>
        <w:t>防静电接地宜采用共用接地装置，其接地电阻应采用各种接地要求的最小值。</w:t>
      </w:r>
    </w:p>
    <w:p>
      <w:pPr>
        <w:pStyle w:val="8"/>
        <w:ind w:firstLine="480"/>
        <w:rPr>
          <w:sz w:val="24"/>
        </w:rPr>
      </w:pPr>
      <w:r>
        <w:rPr>
          <w:sz w:val="24"/>
        </w:rPr>
        <w:t>专设的静电接地体与其它接地体间距不得小于20m</w:t>
      </w:r>
      <w:r>
        <w:rPr>
          <w:rFonts w:hint="eastAsia"/>
          <w:sz w:val="24"/>
        </w:rPr>
        <w:t>，</w:t>
      </w:r>
      <w:r>
        <w:rPr>
          <w:sz w:val="24"/>
        </w:rPr>
        <w:t>电阻值不应大于100Ω。</w:t>
      </w:r>
    </w:p>
    <w:p>
      <w:pPr>
        <w:pStyle w:val="8"/>
        <w:ind w:firstLine="480"/>
        <w:rPr>
          <w:sz w:val="24"/>
        </w:rPr>
      </w:pPr>
      <w:r>
        <w:rPr>
          <w:sz w:val="24"/>
        </w:rPr>
        <w:t>防静电接地线不得利用电源零线</w:t>
      </w:r>
      <w:r>
        <w:rPr>
          <w:rFonts w:hint="eastAsia"/>
          <w:sz w:val="24"/>
        </w:rPr>
        <w:t>，不得与防直击雷引下线共用。</w:t>
      </w:r>
    </w:p>
    <w:p>
      <w:pPr>
        <w:pStyle w:val="8"/>
        <w:ind w:firstLine="0" w:firstLineChars="0"/>
        <w:rPr>
          <w:sz w:val="24"/>
        </w:rPr>
      </w:pPr>
      <w:r>
        <w:rPr>
          <w:rFonts w:eastAsia="黑体"/>
          <w:sz w:val="24"/>
        </w:rPr>
        <w:t xml:space="preserve">9.2.3  </w:t>
      </w:r>
      <w:r>
        <w:rPr>
          <w:sz w:val="24"/>
        </w:rPr>
        <w:t>共用接地系统中，各类接地应先连接到各自接地箱的汇流母线上或局部等电位接地箱的接地端子上，再连接到共用总等电位接地端子上</w:t>
      </w:r>
      <w:r>
        <w:rPr>
          <w:rFonts w:hint="eastAsia"/>
          <w:sz w:val="24"/>
        </w:rPr>
        <w:t>，</w:t>
      </w:r>
      <w:r>
        <w:rPr>
          <w:sz w:val="24"/>
        </w:rPr>
        <w:t>各类接地</w:t>
      </w:r>
      <w:r>
        <w:rPr>
          <w:rFonts w:hint="eastAsia"/>
          <w:sz w:val="24"/>
        </w:rPr>
        <w:t>干线</w:t>
      </w:r>
      <w:r>
        <w:rPr>
          <w:sz w:val="24"/>
        </w:rPr>
        <w:t>不允许混接</w:t>
      </w:r>
      <w:r>
        <w:rPr>
          <w:rFonts w:hint="eastAsia"/>
          <w:sz w:val="24"/>
        </w:rPr>
        <w:t>。</w:t>
      </w:r>
    </w:p>
    <w:p>
      <w:pPr>
        <w:pStyle w:val="8"/>
        <w:ind w:firstLine="0" w:firstLineChars="0"/>
        <w:rPr>
          <w:sz w:val="24"/>
        </w:rPr>
      </w:pPr>
      <w:r>
        <w:rPr>
          <w:rFonts w:eastAsia="黑体"/>
          <w:sz w:val="24"/>
        </w:rPr>
        <w:t xml:space="preserve">9.2.4  </w:t>
      </w:r>
      <w:r>
        <w:rPr>
          <w:sz w:val="24"/>
        </w:rPr>
        <w:t>要求接地的设备、管道等的接地端子与接地线之间可采用螺栓紧固连接，对有振动、位移的设备和管道，其连接处应加挠性连接线。</w:t>
      </w:r>
    </w:p>
    <w:p>
      <w:pPr>
        <w:pStyle w:val="8"/>
        <w:ind w:firstLine="480"/>
        <w:rPr>
          <w:sz w:val="24"/>
        </w:rPr>
      </w:pPr>
      <w:r>
        <w:rPr>
          <w:sz w:val="24"/>
        </w:rPr>
        <w:t>在</w:t>
      </w:r>
      <w:r>
        <w:rPr>
          <w:rFonts w:hint="eastAsia"/>
          <w:sz w:val="24"/>
        </w:rPr>
        <w:t>振动</w:t>
      </w:r>
      <w:r>
        <w:rPr>
          <w:sz w:val="24"/>
        </w:rPr>
        <w:t>和频繁移动的器件上用的接地导体应采用截面不小于6mm</w:t>
      </w:r>
      <w:r>
        <w:rPr>
          <w:sz w:val="24"/>
          <w:vertAlign w:val="superscript"/>
        </w:rPr>
        <w:t>2</w:t>
      </w:r>
      <w:r>
        <w:rPr>
          <w:sz w:val="24"/>
        </w:rPr>
        <w:t>的软绞线或编织线，禁止用单股线或金属链。</w:t>
      </w:r>
    </w:p>
    <w:p>
      <w:pPr>
        <w:pStyle w:val="8"/>
        <w:ind w:firstLine="0" w:firstLineChars="0"/>
        <w:rPr>
          <w:sz w:val="24"/>
        </w:rPr>
      </w:pPr>
      <w:r>
        <w:rPr>
          <w:rFonts w:eastAsia="黑体"/>
          <w:sz w:val="24"/>
        </w:rPr>
        <w:t xml:space="preserve">9.2.5  </w:t>
      </w:r>
      <w:r>
        <w:rPr>
          <w:sz w:val="24"/>
        </w:rPr>
        <w:t>氢气管道在进出氢气站、供氢站处，不同爆炸危险环境边界处、管道分岔处等，应设防静电接地。</w:t>
      </w:r>
    </w:p>
    <w:p>
      <w:pPr>
        <w:pStyle w:val="8"/>
        <w:ind w:firstLine="480"/>
        <w:rPr>
          <w:sz w:val="24"/>
        </w:rPr>
      </w:pPr>
      <w:r>
        <w:rPr>
          <w:rFonts w:hint="eastAsia"/>
          <w:sz w:val="24"/>
        </w:rPr>
        <w:t>氢气</w:t>
      </w:r>
      <w:r>
        <w:rPr>
          <w:sz w:val="24"/>
        </w:rPr>
        <w:t>管道应在始端、末端及直管段每隔50～80m应设防静电接地，液氢管道每隔</w:t>
      </w:r>
      <w:r>
        <w:rPr>
          <w:rFonts w:hint="eastAsia"/>
          <w:sz w:val="24"/>
        </w:rPr>
        <w:t>25</w:t>
      </w:r>
      <w:r>
        <w:rPr>
          <w:sz w:val="24"/>
        </w:rPr>
        <w:t>m应设防静电接地</w:t>
      </w:r>
      <w:r>
        <w:rPr>
          <w:rFonts w:hint="eastAsia"/>
          <w:sz w:val="24"/>
        </w:rPr>
        <w:t>；</w:t>
      </w:r>
      <w:r>
        <w:rPr>
          <w:sz w:val="24"/>
        </w:rPr>
        <w:t>平行管道净距小于100mm时，每间隔20m</w:t>
      </w:r>
      <w:r>
        <w:rPr>
          <w:rFonts w:hint="eastAsia"/>
          <w:sz w:val="24"/>
        </w:rPr>
        <w:t>设</w:t>
      </w:r>
      <w:r>
        <w:rPr>
          <w:sz w:val="24"/>
        </w:rPr>
        <w:t>跨接线，交叉管道净距小于100mm时，应设跨接线。</w:t>
      </w:r>
    </w:p>
    <w:p>
      <w:pPr>
        <w:pStyle w:val="8"/>
        <w:ind w:firstLine="0" w:firstLineChars="0"/>
        <w:rPr>
          <w:sz w:val="24"/>
        </w:rPr>
      </w:pPr>
      <w:r>
        <w:rPr>
          <w:rFonts w:eastAsia="黑体"/>
          <w:sz w:val="24"/>
        </w:rPr>
        <w:t xml:space="preserve">9.2.6  </w:t>
      </w:r>
      <w:r>
        <w:rPr>
          <w:sz w:val="24"/>
        </w:rPr>
        <w:t>氢气管道的弯头、阀门、法兰等连接处接触电阻大于0.1Ω时</w:t>
      </w:r>
      <w:r>
        <w:rPr>
          <w:rFonts w:hint="eastAsia"/>
          <w:sz w:val="24"/>
        </w:rPr>
        <w:t>，</w:t>
      </w:r>
      <w:r>
        <w:rPr>
          <w:sz w:val="24"/>
        </w:rPr>
        <w:t>连接处应以金属线跨接</w:t>
      </w:r>
      <w:r>
        <w:rPr>
          <w:rFonts w:hint="eastAsia"/>
          <w:sz w:val="24"/>
        </w:rPr>
        <w:t>。</w:t>
      </w:r>
    </w:p>
    <w:p>
      <w:pPr>
        <w:pStyle w:val="8"/>
        <w:ind w:firstLine="480"/>
        <w:rPr>
          <w:sz w:val="24"/>
        </w:rPr>
      </w:pPr>
      <w:r>
        <w:rPr>
          <w:sz w:val="24"/>
        </w:rPr>
        <w:t>液氢管道弯头、阀门、法兰等连接处接触电阻大于0.01Ω时</w:t>
      </w:r>
      <w:r>
        <w:rPr>
          <w:rFonts w:hint="eastAsia"/>
          <w:sz w:val="24"/>
        </w:rPr>
        <w:t>，</w:t>
      </w:r>
      <w:r>
        <w:rPr>
          <w:sz w:val="24"/>
        </w:rPr>
        <w:t>连接处应以金属线跨接。</w:t>
      </w:r>
    </w:p>
    <w:p>
      <w:pPr>
        <w:pStyle w:val="8"/>
        <w:ind w:firstLine="0" w:firstLineChars="0"/>
        <w:rPr>
          <w:sz w:val="24"/>
        </w:rPr>
      </w:pPr>
      <w:r>
        <w:rPr>
          <w:rFonts w:eastAsia="黑体"/>
          <w:sz w:val="24"/>
        </w:rPr>
        <w:t xml:space="preserve">9.2.7  </w:t>
      </w:r>
      <w:r>
        <w:rPr>
          <w:sz w:val="24"/>
        </w:rPr>
        <w:t>应在设备、管道等物体金属外壳合适位置设置静电接地用接地端子或接地板。金属接地板不宜小于50x10x60mm，材料与设备、管道等物体金属外壳相近。接地用螺栓不应小于M10。接地板、接地螺栓不可被其它物品覆盖。</w:t>
      </w:r>
    </w:p>
    <w:p>
      <w:pPr>
        <w:pStyle w:val="8"/>
        <w:ind w:firstLine="0" w:firstLineChars="0"/>
        <w:rPr>
          <w:sz w:val="24"/>
        </w:rPr>
      </w:pPr>
      <w:r>
        <w:rPr>
          <w:rFonts w:eastAsia="黑体"/>
          <w:sz w:val="24"/>
        </w:rPr>
        <w:t xml:space="preserve">9.2.8  </w:t>
      </w:r>
      <w:r>
        <w:rPr>
          <w:sz w:val="24"/>
        </w:rPr>
        <w:t>氢气站、供氢站的人员入口处以及有爆炸危险区域</w:t>
      </w:r>
      <w:r>
        <w:rPr>
          <w:rFonts w:hint="eastAsia"/>
          <w:sz w:val="24"/>
        </w:rPr>
        <w:t>，应</w:t>
      </w:r>
      <w:r>
        <w:rPr>
          <w:sz w:val="24"/>
        </w:rPr>
        <w:t>设置人体防静电设施。</w:t>
      </w:r>
    </w:p>
    <w:p>
      <w:pPr>
        <w:pStyle w:val="8"/>
        <w:ind w:firstLine="0" w:firstLineChars="0"/>
        <w:rPr>
          <w:sz w:val="24"/>
        </w:rPr>
      </w:pPr>
      <w:r>
        <w:rPr>
          <w:sz w:val="24"/>
        </w:rPr>
        <w:t xml:space="preserve">9.2.9  </w:t>
      </w:r>
      <w:r>
        <w:rPr>
          <w:rFonts w:hint="eastAsia"/>
          <w:sz w:val="24"/>
        </w:rPr>
        <w:t>氢气长管拖车、氢气管束式集装箱、液氢罐车、液氢管束式集装箱等停放位应设置静电接地柱、线及夹紧连接装置。</w:t>
      </w:r>
    </w:p>
    <w:p/>
    <w:p>
      <w:pPr>
        <w:widowControl/>
        <w:jc w:val="left"/>
        <w:rPr>
          <w:sz w:val="30"/>
        </w:rPr>
      </w:pPr>
      <w:r>
        <w:rPr>
          <w:sz w:val="30"/>
        </w:rPr>
        <w:br w:type="page"/>
      </w:r>
    </w:p>
    <w:p>
      <w:pPr>
        <w:pStyle w:val="8"/>
        <w:ind w:firstLine="0" w:firstLineChars="0"/>
        <w:jc w:val="center"/>
        <w:outlineLvl w:val="0"/>
        <w:rPr>
          <w:sz w:val="30"/>
        </w:rPr>
      </w:pPr>
      <w:bookmarkStart w:id="16" w:name="_Toc108940939"/>
      <w:r>
        <w:rPr>
          <w:sz w:val="30"/>
        </w:rPr>
        <w:t>1</w:t>
      </w:r>
      <w:r>
        <w:rPr>
          <w:rFonts w:hint="eastAsia"/>
          <w:sz w:val="30"/>
        </w:rPr>
        <w:t>0</w:t>
      </w:r>
      <w:r>
        <w:rPr>
          <w:sz w:val="30"/>
        </w:rPr>
        <w:t xml:space="preserve"> 给水排水及消防</w:t>
      </w:r>
      <w:bookmarkEnd w:id="16"/>
    </w:p>
    <w:p>
      <w:pPr>
        <w:pStyle w:val="8"/>
      </w:pPr>
    </w:p>
    <w:p>
      <w:pPr>
        <w:pStyle w:val="8"/>
        <w:ind w:firstLine="0" w:firstLineChars="0"/>
        <w:rPr>
          <w:sz w:val="24"/>
        </w:rPr>
      </w:pPr>
      <w:r>
        <w:rPr>
          <w:rFonts w:eastAsia="黑体"/>
          <w:sz w:val="24"/>
        </w:rPr>
        <w:t>1</w:t>
      </w:r>
      <w:r>
        <w:rPr>
          <w:rFonts w:hint="eastAsia" w:eastAsia="黑体"/>
          <w:sz w:val="24"/>
        </w:rPr>
        <w:t>0</w:t>
      </w:r>
      <w:r>
        <w:rPr>
          <w:rFonts w:eastAsia="黑体"/>
          <w:sz w:val="24"/>
        </w:rPr>
        <w:t>.0.1</w:t>
      </w:r>
      <w:r>
        <w:rPr>
          <w:sz w:val="24"/>
        </w:rPr>
        <w:t xml:space="preserve">  氢气站、供氢站内的生产用水，除中断供氢将造成较大损失者外，可采用一路供水。</w:t>
      </w:r>
    </w:p>
    <w:p>
      <w:pPr>
        <w:pStyle w:val="8"/>
        <w:ind w:firstLine="0" w:firstLineChars="0"/>
        <w:rPr>
          <w:sz w:val="24"/>
        </w:rPr>
      </w:pPr>
      <w:r>
        <w:rPr>
          <w:rFonts w:eastAsia="黑体"/>
          <w:sz w:val="24"/>
        </w:rPr>
        <w:t>1</w:t>
      </w:r>
      <w:r>
        <w:rPr>
          <w:rFonts w:hint="eastAsia" w:eastAsia="黑体"/>
          <w:sz w:val="24"/>
        </w:rPr>
        <w:t>0</w:t>
      </w:r>
      <w:r>
        <w:rPr>
          <w:rFonts w:eastAsia="黑体"/>
          <w:sz w:val="24"/>
        </w:rPr>
        <w:t>.0.2</w:t>
      </w:r>
      <w:r>
        <w:rPr>
          <w:sz w:val="24"/>
        </w:rPr>
        <w:t xml:space="preserve">  氢气站、供氢站内的冷却水系统，应符合下列规定：</w:t>
      </w:r>
    </w:p>
    <w:p>
      <w:pPr>
        <w:pStyle w:val="8"/>
        <w:ind w:firstLine="480"/>
        <w:rPr>
          <w:sz w:val="24"/>
        </w:rPr>
      </w:pPr>
      <w:r>
        <w:rPr>
          <w:sz w:val="24"/>
        </w:rPr>
        <w:t>1冷却水系统，宜采用闭式循环水；</w:t>
      </w:r>
    </w:p>
    <w:p>
      <w:pPr>
        <w:pStyle w:val="8"/>
        <w:ind w:firstLine="480"/>
        <w:rPr>
          <w:sz w:val="24"/>
        </w:rPr>
      </w:pPr>
      <w:r>
        <w:rPr>
          <w:sz w:val="24"/>
        </w:rPr>
        <w:t>2冷却水供水压力宜为0.15～0.35 MPa。水质及排水温度，应符合现行国家标准《压缩空气站设计规范》GB50029的要求；</w:t>
      </w:r>
    </w:p>
    <w:p>
      <w:pPr>
        <w:pStyle w:val="8"/>
        <w:ind w:firstLine="480"/>
        <w:rPr>
          <w:sz w:val="24"/>
        </w:rPr>
      </w:pPr>
      <w:r>
        <w:rPr>
          <w:sz w:val="24"/>
        </w:rPr>
        <w:t>3应装设断水保护装置。</w:t>
      </w:r>
    </w:p>
    <w:p>
      <w:pPr>
        <w:pStyle w:val="8"/>
        <w:ind w:firstLine="0" w:firstLineChars="0"/>
        <w:rPr>
          <w:sz w:val="24"/>
        </w:rPr>
      </w:pPr>
      <w:r>
        <w:rPr>
          <w:rFonts w:eastAsia="黑体"/>
          <w:sz w:val="24"/>
        </w:rPr>
        <w:t>1</w:t>
      </w:r>
      <w:r>
        <w:rPr>
          <w:rFonts w:hint="eastAsia" w:eastAsia="黑体"/>
          <w:sz w:val="24"/>
        </w:rPr>
        <w:t>0</w:t>
      </w:r>
      <w:r>
        <w:rPr>
          <w:rFonts w:eastAsia="黑体"/>
          <w:sz w:val="24"/>
        </w:rPr>
        <w:t>.0.3</w:t>
      </w:r>
      <w:r>
        <w:rPr>
          <w:sz w:val="24"/>
        </w:rPr>
        <w:t xml:space="preserve">  氢气站的冷却水排水，应设水流观察装置或排水漏斗。</w:t>
      </w:r>
    </w:p>
    <w:p>
      <w:pPr>
        <w:pStyle w:val="8"/>
        <w:ind w:firstLine="0" w:firstLineChars="0"/>
        <w:rPr>
          <w:sz w:val="24"/>
        </w:rPr>
      </w:pPr>
      <w:r>
        <w:rPr>
          <w:rFonts w:eastAsia="黑体"/>
          <w:sz w:val="24"/>
        </w:rPr>
        <w:t>10.0.4</w:t>
      </w:r>
      <w:r>
        <w:rPr>
          <w:sz w:val="24"/>
        </w:rPr>
        <w:t xml:space="preserve">  氢气站排出的废水，应符合现行国家标准《污水综合排放标准》GB 8978的规定，地方有严格要求时，应按地方标准执行。</w:t>
      </w:r>
    </w:p>
    <w:p>
      <w:pPr>
        <w:pStyle w:val="8"/>
        <w:ind w:firstLine="0" w:firstLineChars="0"/>
        <w:rPr>
          <w:sz w:val="24"/>
        </w:rPr>
      </w:pPr>
      <w:r>
        <w:rPr>
          <w:rFonts w:eastAsia="黑体"/>
          <w:sz w:val="24"/>
        </w:rPr>
        <w:t>1</w:t>
      </w:r>
      <w:r>
        <w:rPr>
          <w:rFonts w:hint="eastAsia" w:eastAsia="黑体"/>
          <w:sz w:val="24"/>
        </w:rPr>
        <w:t>0</w:t>
      </w:r>
      <w:r>
        <w:rPr>
          <w:rFonts w:eastAsia="黑体"/>
          <w:sz w:val="24"/>
        </w:rPr>
        <w:t>.0.5</w:t>
      </w:r>
      <w:r>
        <w:rPr>
          <w:sz w:val="24"/>
        </w:rPr>
        <w:t xml:space="preserve">  有爆炸危险房间、电器设备间，可根据建筑物大小和具体情况配备二氧化碳、“干粉”等灭火器材。</w:t>
      </w:r>
    </w:p>
    <w:p>
      <w:pPr>
        <w:pStyle w:val="8"/>
        <w:ind w:firstLine="0" w:firstLineChars="0"/>
        <w:rPr>
          <w:sz w:val="24"/>
        </w:rPr>
      </w:pPr>
      <w:r>
        <w:rPr>
          <w:sz w:val="24"/>
        </w:rPr>
        <w:t>1</w:t>
      </w:r>
      <w:r>
        <w:rPr>
          <w:rFonts w:hint="eastAsia"/>
          <w:sz w:val="24"/>
        </w:rPr>
        <w:t>0</w:t>
      </w:r>
      <w:r>
        <w:rPr>
          <w:sz w:val="24"/>
        </w:rPr>
        <w:t>.0.6  氢气站、供氢站的室内外消防设计，应符合现行国家标准《建筑设计防火规范》GB50016的规定。</w:t>
      </w:r>
    </w:p>
    <w:p>
      <w:pPr>
        <w:pStyle w:val="8"/>
        <w:ind w:firstLine="0" w:firstLineChars="0"/>
        <w:jc w:val="center"/>
        <w:outlineLvl w:val="0"/>
        <w:rPr>
          <w:sz w:val="30"/>
        </w:rPr>
      </w:pPr>
      <w:r>
        <w:br w:type="page"/>
      </w:r>
      <w:bookmarkStart w:id="17" w:name="_Toc108940940"/>
      <w:r>
        <w:rPr>
          <w:sz w:val="30"/>
        </w:rPr>
        <w:t>1</w:t>
      </w:r>
      <w:r>
        <w:rPr>
          <w:rFonts w:hint="eastAsia"/>
          <w:sz w:val="30"/>
        </w:rPr>
        <w:t>1</w:t>
      </w:r>
      <w:r>
        <w:rPr>
          <w:sz w:val="30"/>
        </w:rPr>
        <w:t xml:space="preserve"> 采暖通风</w:t>
      </w:r>
      <w:bookmarkEnd w:id="17"/>
    </w:p>
    <w:p>
      <w:pPr>
        <w:pStyle w:val="8"/>
      </w:pPr>
    </w:p>
    <w:p>
      <w:pPr>
        <w:pStyle w:val="8"/>
        <w:ind w:firstLine="0" w:firstLineChars="0"/>
        <w:rPr>
          <w:rFonts w:eastAsia="黑体"/>
          <w:sz w:val="24"/>
        </w:rPr>
      </w:pPr>
      <w:r>
        <w:rPr>
          <w:rFonts w:eastAsia="黑体"/>
          <w:sz w:val="24"/>
        </w:rPr>
        <w:t>1</w:t>
      </w:r>
      <w:r>
        <w:rPr>
          <w:rFonts w:hint="eastAsia" w:eastAsia="黑体"/>
          <w:sz w:val="24"/>
        </w:rPr>
        <w:t>1</w:t>
      </w:r>
      <w:r>
        <w:rPr>
          <w:rFonts w:eastAsia="黑体"/>
          <w:sz w:val="24"/>
        </w:rPr>
        <w:t>.0.1  氢气站、供氢站严禁使用明火取暖。</w:t>
      </w:r>
    </w:p>
    <w:p>
      <w:pPr>
        <w:pStyle w:val="8"/>
        <w:ind w:firstLine="0" w:firstLineChars="0"/>
        <w:rPr>
          <w:sz w:val="24"/>
        </w:rPr>
      </w:pPr>
      <w:r>
        <w:rPr>
          <w:rFonts w:eastAsia="黑体"/>
          <w:sz w:val="24"/>
        </w:rPr>
        <w:t>1</w:t>
      </w:r>
      <w:r>
        <w:rPr>
          <w:rFonts w:hint="eastAsia" w:eastAsia="黑体"/>
          <w:sz w:val="24"/>
        </w:rPr>
        <w:t>1</w:t>
      </w:r>
      <w:r>
        <w:rPr>
          <w:rFonts w:eastAsia="黑体"/>
          <w:sz w:val="24"/>
        </w:rPr>
        <w:t>.0.2</w:t>
      </w:r>
      <w:r>
        <w:rPr>
          <w:sz w:val="24"/>
        </w:rPr>
        <w:t xml:space="preserve">  集中采暖时，室内计算温度应符合下列规定：</w:t>
      </w:r>
    </w:p>
    <w:p>
      <w:pPr>
        <w:pStyle w:val="8"/>
        <w:ind w:firstLine="480"/>
        <w:rPr>
          <w:sz w:val="24"/>
        </w:rPr>
      </w:pPr>
      <w:r>
        <w:rPr>
          <w:sz w:val="24"/>
        </w:rPr>
        <w:t>1生产房间不应低于15℃；</w:t>
      </w:r>
    </w:p>
    <w:p>
      <w:pPr>
        <w:pStyle w:val="8"/>
        <w:ind w:firstLine="480"/>
        <w:rPr>
          <w:sz w:val="24"/>
        </w:rPr>
      </w:pPr>
      <w:r>
        <w:rPr>
          <w:sz w:val="24"/>
        </w:rPr>
        <w:t>2空、实瓶间不应低于10℃；</w:t>
      </w:r>
    </w:p>
    <w:p>
      <w:pPr>
        <w:pStyle w:val="8"/>
        <w:ind w:firstLine="480"/>
        <w:rPr>
          <w:sz w:val="24"/>
        </w:rPr>
      </w:pPr>
      <w:r>
        <w:rPr>
          <w:sz w:val="24"/>
        </w:rPr>
        <w:t>3值班室、生活间等应按现行国家标准《工业企业设计卫生标准》GBZ 1的规定执行。</w:t>
      </w:r>
    </w:p>
    <w:p>
      <w:pPr>
        <w:pStyle w:val="8"/>
        <w:ind w:firstLine="0" w:firstLineChars="0"/>
        <w:rPr>
          <w:sz w:val="24"/>
        </w:rPr>
      </w:pPr>
      <w:r>
        <w:rPr>
          <w:rFonts w:eastAsia="黑体"/>
          <w:sz w:val="24"/>
        </w:rPr>
        <w:t>1</w:t>
      </w:r>
      <w:r>
        <w:rPr>
          <w:rFonts w:hint="eastAsia" w:eastAsia="黑体"/>
          <w:sz w:val="24"/>
        </w:rPr>
        <w:t>1</w:t>
      </w:r>
      <w:r>
        <w:rPr>
          <w:rFonts w:eastAsia="黑体"/>
          <w:sz w:val="24"/>
        </w:rPr>
        <w:t>.0.3</w:t>
      </w:r>
      <w:r>
        <w:rPr>
          <w:sz w:val="24"/>
        </w:rPr>
        <w:t xml:space="preserve">  在计算采暖、通风热量时，应计入制氢装置散发的热量。</w:t>
      </w:r>
    </w:p>
    <w:p>
      <w:pPr>
        <w:pStyle w:val="8"/>
        <w:ind w:firstLine="0" w:firstLineChars="0"/>
        <w:rPr>
          <w:sz w:val="24"/>
        </w:rPr>
      </w:pPr>
      <w:r>
        <w:rPr>
          <w:rFonts w:eastAsia="黑体"/>
          <w:sz w:val="24"/>
        </w:rPr>
        <w:t>1</w:t>
      </w:r>
      <w:r>
        <w:rPr>
          <w:rFonts w:hint="eastAsia" w:eastAsia="黑体"/>
          <w:sz w:val="24"/>
        </w:rPr>
        <w:t>1</w:t>
      </w:r>
      <w:r>
        <w:rPr>
          <w:rFonts w:eastAsia="黑体"/>
          <w:sz w:val="24"/>
        </w:rPr>
        <w:t>.0.4</w:t>
      </w:r>
      <w:r>
        <w:rPr>
          <w:sz w:val="24"/>
        </w:rPr>
        <w:t xml:space="preserve">  散热器的选择，应符合下列规定：</w:t>
      </w:r>
    </w:p>
    <w:p>
      <w:pPr>
        <w:pStyle w:val="8"/>
        <w:ind w:firstLine="480"/>
        <w:rPr>
          <w:sz w:val="24"/>
        </w:rPr>
      </w:pPr>
      <w:r>
        <w:rPr>
          <w:sz w:val="24"/>
        </w:rPr>
        <w:t>1当设集中采暖时，应采用易于消除灰尘的散热器；</w:t>
      </w:r>
    </w:p>
    <w:p>
      <w:pPr>
        <w:pStyle w:val="8"/>
        <w:ind w:firstLine="480"/>
        <w:rPr>
          <w:sz w:val="24"/>
        </w:rPr>
      </w:pPr>
      <w:r>
        <w:rPr>
          <w:sz w:val="24"/>
        </w:rPr>
        <w:t>2氢气压缩机间、氢气</w:t>
      </w:r>
      <w:r>
        <w:rPr>
          <w:rFonts w:hint="eastAsia"/>
          <w:sz w:val="24"/>
        </w:rPr>
        <w:t>充装</w:t>
      </w:r>
      <w:r>
        <w:rPr>
          <w:sz w:val="24"/>
        </w:rPr>
        <w:t>间、氢气汇流排间及空、实瓶间内的散热器，应采取隔热措施。</w:t>
      </w:r>
    </w:p>
    <w:p>
      <w:pPr>
        <w:pStyle w:val="8"/>
        <w:ind w:firstLine="0" w:firstLineChars="0"/>
        <w:rPr>
          <w:rFonts w:eastAsia="黑体"/>
          <w:sz w:val="24"/>
        </w:rPr>
      </w:pPr>
      <w:r>
        <w:rPr>
          <w:rFonts w:eastAsia="黑体"/>
          <w:sz w:val="24"/>
        </w:rPr>
        <w:t>1</w:t>
      </w:r>
      <w:r>
        <w:rPr>
          <w:rFonts w:hint="eastAsia" w:eastAsia="黑体"/>
          <w:sz w:val="24"/>
        </w:rPr>
        <w:t>1</w:t>
      </w:r>
      <w:r>
        <w:rPr>
          <w:rFonts w:eastAsia="黑体"/>
          <w:sz w:val="24"/>
        </w:rPr>
        <w:t>.0.5  有爆炸危险房间的通风应设自然通风和机械通风，并应符合下列要求：</w:t>
      </w:r>
    </w:p>
    <w:p>
      <w:pPr>
        <w:pStyle w:val="8"/>
        <w:ind w:firstLine="480"/>
        <w:rPr>
          <w:rFonts w:eastAsia="黑体"/>
          <w:sz w:val="24"/>
        </w:rPr>
      </w:pPr>
      <w:r>
        <w:rPr>
          <w:rFonts w:eastAsia="黑体"/>
          <w:sz w:val="24"/>
        </w:rPr>
        <w:t>1自然通风换气次数不得少于5次/h；</w:t>
      </w:r>
    </w:p>
    <w:p>
      <w:pPr>
        <w:pStyle w:val="8"/>
        <w:ind w:firstLine="480"/>
        <w:rPr>
          <w:rFonts w:eastAsia="黑体"/>
          <w:sz w:val="24"/>
        </w:rPr>
      </w:pPr>
      <w:r>
        <w:rPr>
          <w:rFonts w:eastAsia="黑体"/>
          <w:sz w:val="24"/>
        </w:rPr>
        <w:t>2事故排风换气次数不得少于15次/h，并应与空气中氢气浓度报警装置连锁。</w:t>
      </w:r>
    </w:p>
    <w:p>
      <w:pPr>
        <w:pStyle w:val="8"/>
        <w:ind w:firstLine="0" w:firstLineChars="0"/>
        <w:rPr>
          <w:sz w:val="24"/>
        </w:rPr>
      </w:pPr>
      <w:r>
        <w:rPr>
          <w:rFonts w:eastAsia="黑体"/>
          <w:sz w:val="24"/>
        </w:rPr>
        <w:t>1</w:t>
      </w:r>
      <w:r>
        <w:rPr>
          <w:rFonts w:hint="eastAsia" w:eastAsia="黑体"/>
          <w:sz w:val="24"/>
        </w:rPr>
        <w:t>1</w:t>
      </w:r>
      <w:r>
        <w:rPr>
          <w:rFonts w:eastAsia="黑体"/>
          <w:sz w:val="24"/>
        </w:rPr>
        <w:t>.0.6</w:t>
      </w:r>
      <w:r>
        <w:rPr>
          <w:sz w:val="24"/>
        </w:rPr>
        <w:t xml:space="preserve">  自然通风帽应设有风量调节装置和防止凝结水滴落的措施。</w:t>
      </w:r>
    </w:p>
    <w:p>
      <w:pPr>
        <w:pStyle w:val="8"/>
        <w:ind w:firstLine="0" w:firstLineChars="0"/>
        <w:rPr>
          <w:rFonts w:eastAsia="黑体"/>
          <w:sz w:val="24"/>
        </w:rPr>
      </w:pPr>
      <w:r>
        <w:rPr>
          <w:rFonts w:eastAsia="黑体"/>
          <w:sz w:val="24"/>
        </w:rPr>
        <w:t>1</w:t>
      </w:r>
      <w:r>
        <w:rPr>
          <w:rFonts w:hint="eastAsia" w:eastAsia="黑体"/>
          <w:sz w:val="24"/>
        </w:rPr>
        <w:t>1</w:t>
      </w:r>
      <w:r>
        <w:rPr>
          <w:rFonts w:eastAsia="黑体"/>
          <w:sz w:val="24"/>
        </w:rPr>
        <w:t>.0.7  有爆炸危险房间事故风机的选型，应符合现行国家标准《爆炸危险环境电力装置设计规范》GB 50058的规定，并不应低于氢气爆炸混合物的级别、组别（ⅡCT1）。</w:t>
      </w:r>
    </w:p>
    <w:p>
      <w:pPr>
        <w:pStyle w:val="8"/>
        <w:ind w:firstLine="0" w:firstLineChars="0"/>
        <w:rPr>
          <w:rFonts w:eastAsia="黑体"/>
        </w:rPr>
      </w:pPr>
    </w:p>
    <w:p>
      <w:pPr>
        <w:pStyle w:val="8"/>
        <w:spacing w:line="360" w:lineRule="auto"/>
        <w:ind w:firstLine="0" w:firstLineChars="0"/>
        <w:jc w:val="center"/>
        <w:outlineLvl w:val="0"/>
        <w:rPr>
          <w:sz w:val="30"/>
        </w:rPr>
      </w:pPr>
      <w:r>
        <w:br w:type="page"/>
      </w:r>
      <w:bookmarkStart w:id="18" w:name="_Toc108940941"/>
      <w:r>
        <w:rPr>
          <w:sz w:val="30"/>
        </w:rPr>
        <w:t>1</w:t>
      </w:r>
      <w:r>
        <w:rPr>
          <w:rFonts w:hint="eastAsia"/>
          <w:sz w:val="30"/>
        </w:rPr>
        <w:t>2</w:t>
      </w:r>
      <w:r>
        <w:rPr>
          <w:sz w:val="30"/>
        </w:rPr>
        <w:t>氢管道</w:t>
      </w:r>
      <w:bookmarkEnd w:id="18"/>
    </w:p>
    <w:p>
      <w:pPr>
        <w:spacing w:line="360" w:lineRule="auto"/>
        <w:jc w:val="center"/>
        <w:outlineLvl w:val="1"/>
        <w:rPr>
          <w:sz w:val="24"/>
        </w:rPr>
      </w:pPr>
      <w:bookmarkStart w:id="19" w:name="_Toc108940942"/>
      <w:bookmarkStart w:id="20" w:name="_Toc108940748"/>
      <w:r>
        <w:rPr>
          <w:sz w:val="24"/>
        </w:rPr>
        <w:t>1</w:t>
      </w:r>
      <w:r>
        <w:rPr>
          <w:rFonts w:hint="eastAsia"/>
          <w:sz w:val="24"/>
        </w:rPr>
        <w:t>2</w:t>
      </w:r>
      <w:r>
        <w:rPr>
          <w:sz w:val="24"/>
        </w:rPr>
        <w:t>.1一般规定</w:t>
      </w:r>
      <w:bookmarkEnd w:id="19"/>
      <w:bookmarkEnd w:id="20"/>
    </w:p>
    <w:p>
      <w:pPr>
        <w:pStyle w:val="8"/>
        <w:spacing w:line="360" w:lineRule="auto"/>
        <w:ind w:firstLine="0" w:firstLineChars="0"/>
        <w:rPr>
          <w:sz w:val="24"/>
        </w:rPr>
      </w:pPr>
      <w:r>
        <w:rPr>
          <w:sz w:val="24"/>
        </w:rPr>
        <w:t>1</w:t>
      </w:r>
      <w:r>
        <w:rPr>
          <w:rFonts w:hint="eastAsia"/>
          <w:sz w:val="24"/>
        </w:rPr>
        <w:t>2</w:t>
      </w:r>
      <w:r>
        <w:rPr>
          <w:sz w:val="24"/>
        </w:rPr>
        <w:t>.1.1  氢气管道的设计除应符合本节的规定外，尚应符合现行国家标准《压力管道规范 工业管道》GB/T 20801和现行国家规程《工业管道安全技术规程》TSG D XXXX等的有关规定。</w:t>
      </w:r>
    </w:p>
    <w:p>
      <w:pPr>
        <w:pStyle w:val="8"/>
        <w:spacing w:line="360" w:lineRule="auto"/>
        <w:ind w:firstLine="0" w:firstLineChars="0"/>
        <w:rPr>
          <w:sz w:val="24"/>
        </w:rPr>
      </w:pPr>
      <w:r>
        <w:rPr>
          <w:sz w:val="24"/>
        </w:rPr>
        <w:t>1</w:t>
      </w:r>
      <w:r>
        <w:rPr>
          <w:rFonts w:hint="eastAsia"/>
          <w:sz w:val="24"/>
        </w:rPr>
        <w:t>2</w:t>
      </w:r>
      <w:r>
        <w:rPr>
          <w:sz w:val="24"/>
        </w:rPr>
        <w:t>.1.2  氢气管道的</w:t>
      </w:r>
      <w:r>
        <w:rPr>
          <w:rFonts w:hint="eastAsia"/>
          <w:sz w:val="24"/>
        </w:rPr>
        <w:t>管径计算</w:t>
      </w:r>
      <w:r>
        <w:rPr>
          <w:sz w:val="24"/>
        </w:rPr>
        <w:t>，应符合下列规定：</w:t>
      </w:r>
    </w:p>
    <w:p>
      <w:pPr>
        <w:pStyle w:val="8"/>
        <w:spacing w:line="360" w:lineRule="auto"/>
        <w:ind w:firstLine="480"/>
        <w:rPr>
          <w:sz w:val="24"/>
        </w:rPr>
      </w:pPr>
      <w:r>
        <w:rPr>
          <w:sz w:val="24"/>
        </w:rPr>
        <w:t>1</w:t>
      </w:r>
      <w:r>
        <w:rPr>
          <w:rFonts w:hint="eastAsia"/>
          <w:sz w:val="24"/>
        </w:rPr>
        <w:t>计算流量应按管段最低工作压力、最高工作温度时的实际流量确定。</w:t>
      </w:r>
    </w:p>
    <w:p>
      <w:pPr>
        <w:pStyle w:val="8"/>
        <w:spacing w:line="360" w:lineRule="auto"/>
        <w:ind w:firstLine="480"/>
        <w:rPr>
          <w:sz w:val="24"/>
        </w:rPr>
      </w:pPr>
      <w:r>
        <w:rPr>
          <w:rFonts w:hint="eastAsia"/>
          <w:sz w:val="24"/>
        </w:rPr>
        <w:t>2</w:t>
      </w:r>
      <w:r>
        <w:rPr>
          <w:sz w:val="24"/>
        </w:rPr>
        <w:t xml:space="preserve"> </w:t>
      </w:r>
      <w:r>
        <w:rPr>
          <w:rFonts w:hint="eastAsia"/>
          <w:sz w:val="24"/>
        </w:rPr>
        <w:t>氢气管道内的实际流速</w:t>
      </w:r>
      <w:r>
        <w:rPr>
          <w:sz w:val="24"/>
        </w:rPr>
        <w:t>不应超过</w:t>
      </w:r>
      <w:r>
        <w:rPr>
          <w:rFonts w:hint="eastAsia"/>
          <w:sz w:val="24"/>
        </w:rPr>
        <w:t>工作</w:t>
      </w:r>
      <w:r>
        <w:rPr>
          <w:sz w:val="24"/>
        </w:rPr>
        <w:t>条件下冲蚀速度的50%。冲蚀速度的计算见附录E。</w:t>
      </w:r>
    </w:p>
    <w:p>
      <w:pPr>
        <w:pStyle w:val="8"/>
        <w:spacing w:line="360" w:lineRule="auto"/>
        <w:ind w:firstLine="480"/>
        <w:rPr>
          <w:sz w:val="24"/>
        </w:rPr>
      </w:pPr>
      <w:r>
        <w:rPr>
          <w:rFonts w:hint="eastAsia"/>
          <w:sz w:val="24"/>
        </w:rPr>
        <w:t>3</w:t>
      </w:r>
      <w:r>
        <w:rPr>
          <w:sz w:val="24"/>
        </w:rPr>
        <w:t xml:space="preserve"> 当设计压力低于0.1MPa时，按允许压力降确定流速。</w:t>
      </w:r>
    </w:p>
    <w:p>
      <w:pPr>
        <w:pStyle w:val="8"/>
        <w:spacing w:line="360" w:lineRule="auto"/>
        <w:ind w:firstLine="0" w:firstLineChars="0"/>
        <w:rPr>
          <w:sz w:val="24"/>
        </w:rPr>
      </w:pPr>
      <w:r>
        <w:rPr>
          <w:sz w:val="24"/>
        </w:rPr>
        <w:t>1</w:t>
      </w:r>
      <w:r>
        <w:rPr>
          <w:rFonts w:hint="eastAsia"/>
          <w:sz w:val="24"/>
        </w:rPr>
        <w:t>2</w:t>
      </w:r>
      <w:r>
        <w:rPr>
          <w:sz w:val="24"/>
        </w:rPr>
        <w:t>.1.3  液氢在真空多层绝热管道内的流速宜不大于</w:t>
      </w:r>
      <w:r>
        <w:rPr>
          <w:rFonts w:hint="eastAsia"/>
          <w:sz w:val="24"/>
        </w:rPr>
        <w:t>5</w:t>
      </w:r>
      <w:r>
        <w:rPr>
          <w:sz w:val="24"/>
        </w:rPr>
        <w:t>m/s。</w:t>
      </w:r>
    </w:p>
    <w:p>
      <w:pPr>
        <w:spacing w:line="360" w:lineRule="auto"/>
        <w:rPr>
          <w:sz w:val="24"/>
        </w:rPr>
      </w:pPr>
      <w:r>
        <w:rPr>
          <w:sz w:val="24"/>
        </w:rPr>
        <w:t>1</w:t>
      </w:r>
      <w:r>
        <w:rPr>
          <w:rFonts w:hint="eastAsia"/>
          <w:sz w:val="24"/>
        </w:rPr>
        <w:t>2</w:t>
      </w:r>
      <w:r>
        <w:rPr>
          <w:sz w:val="24"/>
        </w:rPr>
        <w:t>.1.4  氢气放空</w:t>
      </w:r>
      <w:r>
        <w:rPr>
          <w:rFonts w:hint="eastAsia"/>
          <w:sz w:val="24"/>
        </w:rPr>
        <w:t>装置</w:t>
      </w:r>
      <w:r>
        <w:rPr>
          <w:sz w:val="24"/>
        </w:rPr>
        <w:t>的设置应保证氢气安全排放</w:t>
      </w:r>
      <w:r>
        <w:rPr>
          <w:rFonts w:hint="eastAsia"/>
          <w:sz w:val="24"/>
        </w:rPr>
        <w:t>，</w:t>
      </w:r>
      <w:r>
        <w:rPr>
          <w:sz w:val="24"/>
        </w:rPr>
        <w:t>并应符合下列规定</w:t>
      </w:r>
      <w:r>
        <w:rPr>
          <w:rFonts w:hint="eastAsia"/>
          <w:sz w:val="24"/>
        </w:rPr>
        <w:t>：</w:t>
      </w:r>
    </w:p>
    <w:p>
      <w:pPr>
        <w:spacing w:line="360" w:lineRule="auto"/>
        <w:ind w:firstLine="480" w:firstLineChars="200"/>
        <w:rPr>
          <w:sz w:val="24"/>
        </w:rPr>
      </w:pPr>
      <w:r>
        <w:rPr>
          <w:sz w:val="24"/>
        </w:rPr>
        <w:t>1 应根据现场条件及氢气排放量确定放空装置</w:t>
      </w:r>
      <w:r>
        <w:rPr>
          <w:rFonts w:hint="eastAsia"/>
          <w:sz w:val="24"/>
        </w:rPr>
        <w:t>；</w:t>
      </w:r>
    </w:p>
    <w:p>
      <w:pPr>
        <w:spacing w:line="360" w:lineRule="auto"/>
        <w:ind w:firstLine="480" w:firstLineChars="200"/>
        <w:rPr>
          <w:sz w:val="24"/>
        </w:rPr>
      </w:pPr>
      <w:r>
        <w:rPr>
          <w:sz w:val="24"/>
        </w:rPr>
        <w:t>2 氢气放空管宜设置阻火器或采用惰性化处理的防止回火措施；</w:t>
      </w:r>
    </w:p>
    <w:p>
      <w:pPr>
        <w:spacing w:line="360" w:lineRule="auto"/>
        <w:ind w:firstLine="480" w:firstLineChars="200"/>
        <w:rPr>
          <w:sz w:val="24"/>
        </w:rPr>
      </w:pPr>
      <w:r>
        <w:rPr>
          <w:sz w:val="24"/>
        </w:rPr>
        <w:t>3 氢气放空管设置的阻火器</w:t>
      </w:r>
      <w:r>
        <w:rPr>
          <w:rFonts w:hint="eastAsia"/>
          <w:sz w:val="24"/>
        </w:rPr>
        <w:t>，</w:t>
      </w:r>
      <w:r>
        <w:rPr>
          <w:sz w:val="24"/>
        </w:rPr>
        <w:t>应设在管口处</w:t>
      </w:r>
      <w:r>
        <w:rPr>
          <w:rFonts w:hint="eastAsia"/>
          <w:sz w:val="24"/>
        </w:rPr>
        <w:t>，</w:t>
      </w:r>
      <w:r>
        <w:rPr>
          <w:sz w:val="24"/>
        </w:rPr>
        <w:t>阻火器后的管材应采用不锈钢管</w:t>
      </w:r>
      <w:r>
        <w:rPr>
          <w:rFonts w:hint="eastAsia"/>
          <w:sz w:val="24"/>
        </w:rPr>
        <w:t>；</w:t>
      </w:r>
    </w:p>
    <w:p>
      <w:pPr>
        <w:spacing w:line="360" w:lineRule="auto"/>
        <w:ind w:firstLine="480" w:firstLineChars="200"/>
        <w:rPr>
          <w:sz w:val="24"/>
        </w:rPr>
      </w:pPr>
      <w:r>
        <w:rPr>
          <w:sz w:val="24"/>
        </w:rPr>
        <w:t>4 氢气放空管采用惰性化处理时，应符合下列规定：</w:t>
      </w:r>
    </w:p>
    <w:p>
      <w:pPr>
        <w:spacing w:line="360" w:lineRule="auto"/>
        <w:ind w:firstLine="420"/>
        <w:rPr>
          <w:sz w:val="24"/>
        </w:rPr>
      </w:pPr>
      <w:r>
        <w:rPr>
          <w:sz w:val="24"/>
        </w:rPr>
        <w:tab/>
      </w:r>
      <w:r>
        <w:rPr>
          <w:sz w:val="24"/>
        </w:rPr>
        <w:t>（1）放空管内连续吹扫氮气的流速不应低于0.03m/s；</w:t>
      </w:r>
    </w:p>
    <w:p>
      <w:pPr>
        <w:spacing w:line="360" w:lineRule="auto"/>
        <w:ind w:firstLine="420"/>
        <w:rPr>
          <w:sz w:val="24"/>
        </w:rPr>
      </w:pPr>
      <w:r>
        <w:rPr>
          <w:sz w:val="24"/>
        </w:rPr>
        <w:tab/>
      </w:r>
      <w:r>
        <w:rPr>
          <w:sz w:val="24"/>
        </w:rPr>
        <w:t>（2）吹扫用氮气的纯度不应低于99</w:t>
      </w:r>
      <w:r>
        <w:rPr>
          <w:rFonts w:hint="eastAsia"/>
          <w:sz w:val="24"/>
        </w:rPr>
        <w:t>.5</w:t>
      </w:r>
      <w:r>
        <w:rPr>
          <w:sz w:val="24"/>
        </w:rPr>
        <w:t>%；</w:t>
      </w:r>
    </w:p>
    <w:p>
      <w:pPr>
        <w:spacing w:line="360" w:lineRule="auto"/>
        <w:ind w:firstLine="480" w:firstLineChars="200"/>
        <w:rPr>
          <w:sz w:val="24"/>
        </w:rPr>
      </w:pPr>
      <w:r>
        <w:rPr>
          <w:sz w:val="24"/>
        </w:rPr>
        <w:tab/>
      </w:r>
      <w:r>
        <w:rPr>
          <w:sz w:val="24"/>
        </w:rPr>
        <w:t>（3）吹扫氮气的接入口应位于放空管的下部，</w:t>
      </w:r>
      <w:r>
        <w:rPr>
          <w:rFonts w:hint="eastAsia"/>
          <w:sz w:val="24"/>
        </w:rPr>
        <w:t>并</w:t>
      </w:r>
      <w:r>
        <w:rPr>
          <w:sz w:val="24"/>
        </w:rPr>
        <w:t>应装设止回阀，防止氢气倒流入氮气系统。</w:t>
      </w:r>
    </w:p>
    <w:p>
      <w:pPr>
        <w:spacing w:line="360" w:lineRule="auto"/>
        <w:ind w:firstLine="420"/>
        <w:rPr>
          <w:sz w:val="24"/>
        </w:rPr>
      </w:pPr>
      <w:r>
        <w:rPr>
          <w:sz w:val="24"/>
        </w:rPr>
        <w:t>5 不同压力等级的放空管不应直接连通，应分别直接放空或引至放空总管</w:t>
      </w:r>
      <w:r>
        <w:rPr>
          <w:rFonts w:hint="eastAsia"/>
          <w:sz w:val="24"/>
        </w:rPr>
        <w:t>；</w:t>
      </w:r>
      <w:r>
        <w:rPr>
          <w:sz w:val="24"/>
        </w:rPr>
        <w:t>氢气排放速度宜低于100m/s</w:t>
      </w:r>
      <w:r>
        <w:rPr>
          <w:rFonts w:hint="eastAsia"/>
          <w:sz w:val="24"/>
        </w:rPr>
        <w:t>；</w:t>
      </w:r>
    </w:p>
    <w:p>
      <w:pPr>
        <w:spacing w:line="360" w:lineRule="auto"/>
        <w:ind w:firstLine="420"/>
        <w:rPr>
          <w:sz w:val="24"/>
        </w:rPr>
      </w:pPr>
      <w:r>
        <w:rPr>
          <w:sz w:val="24"/>
        </w:rPr>
        <w:t>6 放空管应垂直向上引至室外，管口应高出20m范围内设施最高点2m以上，且应高出所在地面5m以上；</w:t>
      </w:r>
    </w:p>
    <w:p>
      <w:pPr>
        <w:spacing w:line="360" w:lineRule="auto"/>
        <w:ind w:firstLine="420"/>
        <w:rPr>
          <w:sz w:val="24"/>
        </w:rPr>
      </w:pPr>
      <w:r>
        <w:rPr>
          <w:sz w:val="24"/>
        </w:rPr>
        <w:t>7 安全阀放空单管内直径应大于喉径，</w:t>
      </w:r>
      <w:r>
        <w:rPr>
          <w:rFonts w:hint="eastAsia"/>
          <w:sz w:val="24"/>
        </w:rPr>
        <w:t>放空总管的截面积宜大于各个安全阀喉径面积之和；</w:t>
      </w:r>
    </w:p>
    <w:p>
      <w:pPr>
        <w:spacing w:line="360" w:lineRule="auto"/>
        <w:ind w:firstLine="420"/>
        <w:rPr>
          <w:sz w:val="24"/>
        </w:rPr>
      </w:pPr>
      <w:r>
        <w:rPr>
          <w:sz w:val="24"/>
        </w:rPr>
        <w:t>8 放空管口应</w:t>
      </w:r>
      <w:r>
        <w:rPr>
          <w:rFonts w:hint="eastAsia"/>
          <w:sz w:val="24"/>
        </w:rPr>
        <w:t>设有</w:t>
      </w:r>
      <w:r>
        <w:rPr>
          <w:sz w:val="24"/>
        </w:rPr>
        <w:t>防止雨雪侵入和杂物堵塞的措施；</w:t>
      </w:r>
    </w:p>
    <w:p>
      <w:pPr>
        <w:spacing w:line="360" w:lineRule="auto"/>
        <w:ind w:firstLine="420"/>
        <w:rPr>
          <w:sz w:val="24"/>
        </w:rPr>
      </w:pPr>
      <w:r>
        <w:rPr>
          <w:sz w:val="24"/>
        </w:rPr>
        <w:t>9 放空管应设静电接地装置，并应布置在防雷有效保护范围内</w:t>
      </w:r>
      <w:r>
        <w:rPr>
          <w:rFonts w:hint="eastAsia"/>
          <w:sz w:val="24"/>
        </w:rPr>
        <w:t>。</w:t>
      </w:r>
    </w:p>
    <w:p>
      <w:pPr>
        <w:spacing w:line="360" w:lineRule="auto"/>
        <w:rPr>
          <w:sz w:val="24"/>
        </w:rPr>
      </w:pPr>
      <w:r>
        <w:rPr>
          <w:sz w:val="24"/>
        </w:rPr>
        <w:t>1</w:t>
      </w:r>
      <w:r>
        <w:rPr>
          <w:rFonts w:hint="eastAsia"/>
          <w:sz w:val="24"/>
        </w:rPr>
        <w:t>2</w:t>
      </w:r>
      <w:r>
        <w:rPr>
          <w:sz w:val="24"/>
        </w:rPr>
        <w:t>.1.5  液氢系统应设独立的放空排气装置，并应符合下列规定：</w:t>
      </w:r>
    </w:p>
    <w:p>
      <w:pPr>
        <w:spacing w:line="360" w:lineRule="auto"/>
        <w:ind w:firstLine="480" w:firstLineChars="200"/>
        <w:rPr>
          <w:sz w:val="24"/>
        </w:rPr>
      </w:pPr>
      <w:r>
        <w:rPr>
          <w:sz w:val="24"/>
        </w:rPr>
        <w:t>1 排放液氢、低温氢气时，应确保放空管出口温度不低于90K，放空过程应保持正压；</w:t>
      </w:r>
    </w:p>
    <w:p>
      <w:pPr>
        <w:spacing w:line="360" w:lineRule="auto"/>
        <w:ind w:firstLine="480" w:firstLineChars="200"/>
        <w:rPr>
          <w:sz w:val="24"/>
        </w:rPr>
      </w:pPr>
      <w:r>
        <w:rPr>
          <w:sz w:val="24"/>
        </w:rPr>
        <w:t>2 不应将压力等级不同的氢放空管连通到同一放空系统上；</w:t>
      </w:r>
    </w:p>
    <w:p>
      <w:pPr>
        <w:spacing w:line="360" w:lineRule="auto"/>
        <w:ind w:firstLine="480" w:firstLineChars="200"/>
        <w:rPr>
          <w:sz w:val="24"/>
        </w:rPr>
      </w:pPr>
      <w:r>
        <w:rPr>
          <w:sz w:val="24"/>
        </w:rPr>
        <w:t>3 液氢饱和蒸汽流速不应超过16m/s，单相流氢气排放速度</w:t>
      </w:r>
      <w:r>
        <w:rPr>
          <w:rFonts w:hint="eastAsia"/>
          <w:sz w:val="24"/>
        </w:rPr>
        <w:t>宜低于</w:t>
      </w:r>
      <w:r>
        <w:rPr>
          <w:sz w:val="24"/>
        </w:rPr>
        <w:t>100m/s；</w:t>
      </w:r>
    </w:p>
    <w:p>
      <w:pPr>
        <w:spacing w:line="360" w:lineRule="auto"/>
        <w:ind w:firstLine="480" w:firstLineChars="200"/>
        <w:rPr>
          <w:sz w:val="24"/>
        </w:rPr>
      </w:pPr>
      <w:r>
        <w:rPr>
          <w:rFonts w:hint="eastAsia"/>
          <w:sz w:val="24"/>
        </w:rPr>
        <w:t>4</w:t>
      </w:r>
      <w:r>
        <w:rPr>
          <w:sz w:val="24"/>
        </w:rPr>
        <w:t>放空管宜设阻火器，并应符合12.1.4条第3</w:t>
      </w:r>
      <w:r>
        <w:rPr>
          <w:rFonts w:hint="eastAsia"/>
          <w:sz w:val="24"/>
        </w:rPr>
        <w:t>、4</w:t>
      </w:r>
      <w:r>
        <w:rPr>
          <w:sz w:val="24"/>
        </w:rPr>
        <w:t>款的要求；</w:t>
      </w:r>
    </w:p>
    <w:p>
      <w:pPr>
        <w:spacing w:line="360" w:lineRule="auto"/>
        <w:ind w:firstLine="480" w:firstLineChars="200"/>
        <w:rPr>
          <w:sz w:val="24"/>
        </w:rPr>
      </w:pPr>
      <w:r>
        <w:rPr>
          <w:sz w:val="24"/>
        </w:rPr>
        <w:t>5 应通过固定放空管向高空排放，放空管的高度应高于附近20m范围内的平台或建筑顶5m以上；</w:t>
      </w:r>
    </w:p>
    <w:p>
      <w:pPr>
        <w:spacing w:line="360" w:lineRule="auto"/>
        <w:ind w:firstLine="480" w:firstLineChars="200"/>
        <w:rPr>
          <w:sz w:val="24"/>
        </w:rPr>
      </w:pPr>
      <w:r>
        <w:rPr>
          <w:sz w:val="24"/>
        </w:rPr>
        <w:t>6 放空管应设防空气倒流和雨雪侵入、水汽凝集、冻结和外来异物堵塞的装置；</w:t>
      </w:r>
    </w:p>
    <w:p>
      <w:pPr>
        <w:spacing w:line="360" w:lineRule="auto"/>
        <w:ind w:firstLine="480" w:firstLineChars="200"/>
        <w:rPr>
          <w:sz w:val="24"/>
        </w:rPr>
      </w:pPr>
      <w:r>
        <w:rPr>
          <w:sz w:val="24"/>
        </w:rPr>
        <w:t>7 放空管应设静电接地装置，并应布置在防雷有效保护范围内。</w:t>
      </w:r>
    </w:p>
    <w:p>
      <w:pPr>
        <w:spacing w:line="360" w:lineRule="auto"/>
        <w:rPr>
          <w:sz w:val="24"/>
        </w:rPr>
      </w:pPr>
      <w:r>
        <w:rPr>
          <w:sz w:val="24"/>
        </w:rPr>
        <w:t>1</w:t>
      </w:r>
      <w:r>
        <w:rPr>
          <w:rFonts w:hint="eastAsia"/>
          <w:sz w:val="24"/>
        </w:rPr>
        <w:t>2</w:t>
      </w:r>
      <w:r>
        <w:rPr>
          <w:sz w:val="24"/>
        </w:rPr>
        <w:t>.1.6  液氢放空管附近应设置“灭火时严禁将水喷入液氢放空系统”安全标志。安全标志应符合《安全标志及其使用导则》GB 2894的规定。</w:t>
      </w:r>
    </w:p>
    <w:p>
      <w:pPr>
        <w:spacing w:line="360" w:lineRule="auto"/>
        <w:rPr>
          <w:sz w:val="24"/>
        </w:rPr>
      </w:pPr>
      <w:r>
        <w:rPr>
          <w:sz w:val="24"/>
        </w:rPr>
        <w:t>1</w:t>
      </w:r>
      <w:r>
        <w:rPr>
          <w:rFonts w:hint="eastAsia"/>
          <w:sz w:val="24"/>
        </w:rPr>
        <w:t>2</w:t>
      </w:r>
      <w:r>
        <w:rPr>
          <w:sz w:val="24"/>
        </w:rPr>
        <w:t>.1.7  氢气站、供氢站和用氢车间等室内氢气管道敷设时，应符合下列规定：</w:t>
      </w:r>
    </w:p>
    <w:p>
      <w:pPr>
        <w:spacing w:line="360" w:lineRule="auto"/>
        <w:ind w:firstLine="480" w:firstLineChars="200"/>
        <w:rPr>
          <w:sz w:val="24"/>
        </w:rPr>
      </w:pPr>
      <w:r>
        <w:rPr>
          <w:sz w:val="24"/>
        </w:rPr>
        <w:t>1 宜沿墙、柱架空敷设，其高度不应防碍运输并便于检修。与其它管道共架敷设时，应符合本</w:t>
      </w:r>
      <w:r>
        <w:rPr>
          <w:rFonts w:hint="eastAsia"/>
          <w:sz w:val="24"/>
        </w:rPr>
        <w:t>标准</w:t>
      </w:r>
      <w:r>
        <w:rPr>
          <w:sz w:val="24"/>
        </w:rPr>
        <w:t>附录B的要求；</w:t>
      </w:r>
    </w:p>
    <w:p>
      <w:pPr>
        <w:spacing w:line="360" w:lineRule="auto"/>
        <w:ind w:firstLine="482" w:firstLineChars="200"/>
        <w:rPr>
          <w:b/>
          <w:sz w:val="24"/>
        </w:rPr>
      </w:pPr>
      <w:r>
        <w:rPr>
          <w:b/>
          <w:sz w:val="24"/>
        </w:rPr>
        <w:t>2 严禁穿过不使用氢气的房间；</w:t>
      </w:r>
    </w:p>
    <w:p>
      <w:pPr>
        <w:spacing w:line="360" w:lineRule="auto"/>
        <w:ind w:firstLine="480" w:firstLineChars="200"/>
        <w:rPr>
          <w:sz w:val="24"/>
        </w:rPr>
      </w:pPr>
      <w:r>
        <w:rPr>
          <w:sz w:val="24"/>
        </w:rPr>
        <w:t>3 建筑物的氢气入口处应设切断阀，并宜设流量记录累计仪表；在氢气管道末端应设放空管；</w:t>
      </w:r>
    </w:p>
    <w:p>
      <w:pPr>
        <w:spacing w:line="360" w:lineRule="auto"/>
        <w:ind w:firstLine="482" w:firstLineChars="200"/>
        <w:rPr>
          <w:b/>
          <w:sz w:val="24"/>
        </w:rPr>
      </w:pPr>
      <w:r>
        <w:rPr>
          <w:b/>
          <w:sz w:val="24"/>
        </w:rPr>
        <w:t>4 接至用氢设备的支管应设切断阀，有明火的用氢设备还应设阻火器。</w:t>
      </w:r>
    </w:p>
    <w:p>
      <w:pPr>
        <w:spacing w:line="360" w:lineRule="auto"/>
        <w:rPr>
          <w:sz w:val="24"/>
        </w:rPr>
      </w:pPr>
      <w:r>
        <w:rPr>
          <w:rFonts w:hint="eastAsia"/>
          <w:sz w:val="24"/>
        </w:rPr>
        <w:t>12</w:t>
      </w:r>
      <w:r>
        <w:rPr>
          <w:sz w:val="24"/>
        </w:rPr>
        <w:t xml:space="preserve">.1.8  </w:t>
      </w:r>
      <w:r>
        <w:rPr>
          <w:rFonts w:hint="eastAsia"/>
          <w:sz w:val="24"/>
        </w:rPr>
        <w:t>室外</w:t>
      </w:r>
      <w:r>
        <w:rPr>
          <w:sz w:val="24"/>
        </w:rPr>
        <w:t>氢气管道架空敷设时，应符合下列规定：</w:t>
      </w:r>
    </w:p>
    <w:p>
      <w:pPr>
        <w:spacing w:line="360" w:lineRule="auto"/>
        <w:ind w:firstLine="480" w:firstLineChars="200"/>
        <w:rPr>
          <w:sz w:val="24"/>
        </w:rPr>
      </w:pPr>
      <w:r>
        <w:rPr>
          <w:sz w:val="24"/>
        </w:rPr>
        <w:t>1应敷设在不燃烧体的支架上；</w:t>
      </w:r>
    </w:p>
    <w:p>
      <w:pPr>
        <w:spacing w:line="360" w:lineRule="auto"/>
        <w:ind w:firstLine="480" w:firstLineChars="200"/>
        <w:rPr>
          <w:sz w:val="24"/>
        </w:rPr>
      </w:pPr>
      <w:r>
        <w:rPr>
          <w:sz w:val="24"/>
        </w:rPr>
        <w:t>2寒冷地区，湿氢管道应采取防冻措施；</w:t>
      </w:r>
    </w:p>
    <w:p>
      <w:pPr>
        <w:spacing w:line="360" w:lineRule="auto"/>
        <w:ind w:firstLine="480" w:firstLineChars="200"/>
        <w:rPr>
          <w:sz w:val="24"/>
        </w:rPr>
      </w:pPr>
      <w:r>
        <w:rPr>
          <w:sz w:val="24"/>
        </w:rPr>
        <w:t>3与建筑物、构筑物、铁路和道路等之间的最小净距，宜按本</w:t>
      </w:r>
      <w:r>
        <w:rPr>
          <w:rFonts w:hint="eastAsia"/>
          <w:sz w:val="24"/>
        </w:rPr>
        <w:t>标准</w:t>
      </w:r>
      <w:r>
        <w:rPr>
          <w:sz w:val="24"/>
        </w:rPr>
        <w:t>附录C的规定执行。与其他架空管线之间的最小净距，可按本</w:t>
      </w:r>
      <w:r>
        <w:rPr>
          <w:rFonts w:hint="eastAsia"/>
          <w:sz w:val="24"/>
        </w:rPr>
        <w:t>标准</w:t>
      </w:r>
      <w:r>
        <w:rPr>
          <w:sz w:val="24"/>
        </w:rPr>
        <w:t>附录B的规定执行</w:t>
      </w:r>
      <w:r>
        <w:rPr>
          <w:rFonts w:hint="eastAsia"/>
          <w:sz w:val="24"/>
        </w:rPr>
        <w:t>。</w:t>
      </w:r>
    </w:p>
    <w:p>
      <w:pPr>
        <w:spacing w:line="360" w:lineRule="auto"/>
        <w:rPr>
          <w:sz w:val="24"/>
        </w:rPr>
      </w:pPr>
      <w:r>
        <w:rPr>
          <w:sz w:val="24"/>
        </w:rPr>
        <w:t>1</w:t>
      </w:r>
      <w:r>
        <w:rPr>
          <w:rFonts w:hint="eastAsia"/>
          <w:sz w:val="24"/>
        </w:rPr>
        <w:t>2</w:t>
      </w:r>
      <w:r>
        <w:rPr>
          <w:sz w:val="24"/>
        </w:rPr>
        <w:t xml:space="preserve">.1.9  </w:t>
      </w:r>
      <w:r>
        <w:rPr>
          <w:rFonts w:hint="eastAsia"/>
          <w:sz w:val="24"/>
        </w:rPr>
        <w:t>室外</w:t>
      </w:r>
      <w:r>
        <w:rPr>
          <w:sz w:val="24"/>
        </w:rPr>
        <w:t>氢气管道直接埋地敷设时，应符合下列规定：</w:t>
      </w:r>
    </w:p>
    <w:p>
      <w:pPr>
        <w:spacing w:line="360" w:lineRule="auto"/>
        <w:ind w:firstLine="480" w:firstLineChars="200"/>
        <w:rPr>
          <w:sz w:val="24"/>
        </w:rPr>
      </w:pPr>
      <w:r>
        <w:rPr>
          <w:sz w:val="24"/>
        </w:rPr>
        <w:t>1埋地敷设深度，应根据地面荷载、土壤冻结深度等条件确定，管顶距地面不宜小于0.7m。湿氢管道应敷设在冻土层以下；当敷设在冻土层内时，应采取防冻措施；</w:t>
      </w:r>
    </w:p>
    <w:p>
      <w:pPr>
        <w:spacing w:line="360" w:lineRule="auto"/>
        <w:ind w:firstLine="480" w:firstLineChars="200"/>
        <w:rPr>
          <w:sz w:val="24"/>
        </w:rPr>
      </w:pPr>
      <w:r>
        <w:rPr>
          <w:sz w:val="24"/>
        </w:rPr>
        <w:t>2应根据埋设地带的土壤腐蚀性等级，采取相应的防腐蚀措施；</w:t>
      </w:r>
    </w:p>
    <w:p>
      <w:pPr>
        <w:spacing w:line="360" w:lineRule="auto"/>
        <w:ind w:firstLine="480" w:firstLineChars="200"/>
        <w:rPr>
          <w:sz w:val="24"/>
        </w:rPr>
      </w:pPr>
      <w:r>
        <w:rPr>
          <w:sz w:val="24"/>
        </w:rPr>
        <w:t>3与建筑物、构筑物、道路及其它埋地敷设管线之间的最小净距，宜按本</w:t>
      </w:r>
      <w:r>
        <w:rPr>
          <w:rFonts w:hint="eastAsia"/>
          <w:sz w:val="24"/>
        </w:rPr>
        <w:t>标准</w:t>
      </w:r>
      <w:r>
        <w:rPr>
          <w:sz w:val="24"/>
        </w:rPr>
        <w:t>附录D的规定执行；</w:t>
      </w:r>
    </w:p>
    <w:p>
      <w:pPr>
        <w:spacing w:line="360" w:lineRule="auto"/>
        <w:ind w:firstLine="482" w:firstLineChars="200"/>
        <w:rPr>
          <w:b/>
          <w:sz w:val="24"/>
        </w:rPr>
      </w:pPr>
      <w:r>
        <w:rPr>
          <w:b/>
          <w:sz w:val="24"/>
        </w:rPr>
        <w:t>4不得敷设在露天堆场下面或穿过热力沟。当必须穿过热力沟时，应设套管。套管和套管内的管段不应有焊缝；</w:t>
      </w:r>
    </w:p>
    <w:p>
      <w:pPr>
        <w:spacing w:line="360" w:lineRule="auto"/>
        <w:ind w:firstLine="482" w:firstLineChars="200"/>
        <w:rPr>
          <w:b/>
          <w:sz w:val="24"/>
        </w:rPr>
      </w:pPr>
      <w:r>
        <w:rPr>
          <w:b/>
          <w:sz w:val="24"/>
        </w:rPr>
        <w:t>5敷设在铁路或不便开挖的道路下面时，应加设套管。套管的两端伸出铁路路基、道路路肩或延伸至排水沟沟边均为1m。套管内的管段不应有焊缝；套管的端部应设检漏管</w:t>
      </w:r>
      <w:r>
        <w:rPr>
          <w:rFonts w:hint="eastAsia"/>
          <w:b/>
          <w:sz w:val="24"/>
        </w:rPr>
        <w:t>；</w:t>
      </w:r>
    </w:p>
    <w:p>
      <w:pPr>
        <w:spacing w:line="360" w:lineRule="auto"/>
        <w:ind w:firstLine="480" w:firstLineChars="200"/>
        <w:rPr>
          <w:sz w:val="24"/>
        </w:rPr>
      </w:pPr>
      <w:r>
        <w:rPr>
          <w:sz w:val="24"/>
        </w:rPr>
        <w:t>6回填土前，应从沟底起直至管顶以上300mm范围内，用松散的土填平夯实或用砂填满再回填土。</w:t>
      </w:r>
    </w:p>
    <w:p>
      <w:pPr>
        <w:spacing w:line="360" w:lineRule="auto"/>
        <w:rPr>
          <w:b/>
          <w:sz w:val="24"/>
        </w:rPr>
      </w:pPr>
      <w:r>
        <w:rPr>
          <w:sz w:val="24"/>
        </w:rPr>
        <w:t>1</w:t>
      </w:r>
      <w:r>
        <w:rPr>
          <w:rFonts w:hint="eastAsia"/>
          <w:sz w:val="24"/>
        </w:rPr>
        <w:t>2</w:t>
      </w:r>
      <w:r>
        <w:rPr>
          <w:sz w:val="24"/>
        </w:rPr>
        <w:t xml:space="preserve">.1.10  </w:t>
      </w:r>
      <w:r>
        <w:rPr>
          <w:rFonts w:hint="eastAsia"/>
          <w:sz w:val="24"/>
        </w:rPr>
        <w:t>室外</w:t>
      </w:r>
      <w:r>
        <w:rPr>
          <w:sz w:val="24"/>
        </w:rPr>
        <w:t>氢气管道明沟敷设时，应符合下列规定：</w:t>
      </w:r>
    </w:p>
    <w:p>
      <w:pPr>
        <w:spacing w:line="360" w:lineRule="auto"/>
        <w:ind w:firstLine="480" w:firstLineChars="200"/>
        <w:rPr>
          <w:sz w:val="24"/>
        </w:rPr>
      </w:pPr>
      <w:r>
        <w:rPr>
          <w:sz w:val="24"/>
        </w:rPr>
        <w:t>1不应与除氮气管道外的其他管线共沟敷设；</w:t>
      </w:r>
    </w:p>
    <w:p>
      <w:pPr>
        <w:spacing w:line="360" w:lineRule="auto"/>
        <w:ind w:firstLine="482" w:firstLineChars="200"/>
        <w:rPr>
          <w:b/>
          <w:sz w:val="24"/>
        </w:rPr>
      </w:pPr>
      <w:r>
        <w:rPr>
          <w:b/>
          <w:sz w:val="24"/>
        </w:rPr>
        <w:t>2当明沟设有盖板时</w:t>
      </w:r>
      <w:r>
        <w:rPr>
          <w:rFonts w:hint="eastAsia"/>
          <w:b/>
          <w:sz w:val="24"/>
        </w:rPr>
        <w:t>，</w:t>
      </w:r>
      <w:r>
        <w:rPr>
          <w:b/>
          <w:sz w:val="24"/>
        </w:rPr>
        <w:t>应保持沟内通风良好，并不</w:t>
      </w:r>
      <w:r>
        <w:rPr>
          <w:rFonts w:hint="eastAsia"/>
          <w:b/>
          <w:sz w:val="24"/>
        </w:rPr>
        <w:t>得</w:t>
      </w:r>
      <w:r>
        <w:rPr>
          <w:b/>
          <w:sz w:val="24"/>
        </w:rPr>
        <w:t>有氢气积聚的空间</w:t>
      </w:r>
      <w:r>
        <w:rPr>
          <w:rFonts w:hint="eastAsia"/>
          <w:b/>
          <w:sz w:val="24"/>
        </w:rPr>
        <w:t>；</w:t>
      </w:r>
    </w:p>
    <w:p>
      <w:pPr>
        <w:spacing w:line="360" w:lineRule="auto"/>
        <w:ind w:firstLine="480" w:firstLineChars="200"/>
        <w:rPr>
          <w:sz w:val="24"/>
        </w:rPr>
      </w:pPr>
      <w:r>
        <w:rPr>
          <w:sz w:val="24"/>
        </w:rPr>
        <w:t>3管道支架、多孔盖板应采用不燃材料制作；</w:t>
      </w:r>
    </w:p>
    <w:p>
      <w:pPr>
        <w:spacing w:line="360" w:lineRule="auto"/>
        <w:ind w:firstLine="480" w:firstLineChars="200"/>
        <w:rPr>
          <w:sz w:val="24"/>
        </w:rPr>
      </w:pPr>
      <w:r>
        <w:rPr>
          <w:sz w:val="24"/>
        </w:rPr>
        <w:t>4寒冷地区，湿氢管道应采取防冻措施。</w:t>
      </w:r>
    </w:p>
    <w:p>
      <w:pPr>
        <w:spacing w:line="360" w:lineRule="auto"/>
        <w:rPr>
          <w:sz w:val="24"/>
        </w:rPr>
      </w:pPr>
      <w:r>
        <w:rPr>
          <w:sz w:val="24"/>
        </w:rPr>
        <w:t>1</w:t>
      </w:r>
      <w:r>
        <w:rPr>
          <w:rFonts w:hint="eastAsia"/>
          <w:sz w:val="24"/>
        </w:rPr>
        <w:t>2</w:t>
      </w:r>
      <w:r>
        <w:rPr>
          <w:sz w:val="24"/>
        </w:rPr>
        <w:t>.1.11  液氢管道宜低</w:t>
      </w:r>
      <w:r>
        <w:rPr>
          <w:rFonts w:hint="eastAsia"/>
          <w:sz w:val="24"/>
        </w:rPr>
        <w:t>支架</w:t>
      </w:r>
      <w:r>
        <w:rPr>
          <w:sz w:val="24"/>
        </w:rPr>
        <w:t>敷设，当受条件限制时可采用明沟敷设，并应符合本</w:t>
      </w:r>
      <w:r>
        <w:rPr>
          <w:rFonts w:hint="eastAsia"/>
          <w:sz w:val="24"/>
        </w:rPr>
        <w:t>标准</w:t>
      </w:r>
      <w:r>
        <w:rPr>
          <w:sz w:val="24"/>
        </w:rPr>
        <w:t>第12.1.10条的规定。</w:t>
      </w:r>
    </w:p>
    <w:p>
      <w:pPr>
        <w:pStyle w:val="8"/>
        <w:ind w:firstLine="0" w:firstLineChars="0"/>
        <w:rPr>
          <w:sz w:val="24"/>
        </w:rPr>
      </w:pPr>
      <w:r>
        <w:rPr>
          <w:rFonts w:eastAsia="黑体"/>
          <w:sz w:val="24"/>
        </w:rPr>
        <w:t>1</w:t>
      </w:r>
      <w:r>
        <w:rPr>
          <w:rFonts w:hint="eastAsia" w:eastAsia="黑体"/>
          <w:sz w:val="24"/>
        </w:rPr>
        <w:t>2</w:t>
      </w:r>
      <w:r>
        <w:rPr>
          <w:rFonts w:eastAsia="黑体"/>
          <w:sz w:val="24"/>
        </w:rPr>
        <w:t xml:space="preserve">.1.12 </w:t>
      </w:r>
      <w:r>
        <w:rPr>
          <w:sz w:val="24"/>
        </w:rPr>
        <w:t>氢气管道设计对施工及验收的要求</w:t>
      </w:r>
      <w:r>
        <w:rPr>
          <w:rFonts w:hint="eastAsia"/>
          <w:sz w:val="24"/>
        </w:rPr>
        <w:t>，</w:t>
      </w:r>
      <w:r>
        <w:rPr>
          <w:sz w:val="24"/>
        </w:rPr>
        <w:t>应符合下列规定：</w:t>
      </w:r>
    </w:p>
    <w:p>
      <w:pPr>
        <w:pStyle w:val="8"/>
        <w:ind w:firstLine="664" w:firstLineChars="277"/>
        <w:rPr>
          <w:sz w:val="24"/>
        </w:rPr>
      </w:pPr>
      <w:r>
        <w:rPr>
          <w:sz w:val="24"/>
        </w:rPr>
        <w:t>1接触氢气的表面，应彻底去除毛刺、焊渣、铁锈和污垢等，管道内壁的除锈应达到出现本色为止；</w:t>
      </w:r>
    </w:p>
    <w:p>
      <w:pPr>
        <w:pStyle w:val="8"/>
        <w:ind w:firstLine="664" w:firstLineChars="277"/>
        <w:rPr>
          <w:sz w:val="24"/>
        </w:rPr>
      </w:pPr>
      <w:r>
        <w:rPr>
          <w:sz w:val="24"/>
        </w:rPr>
        <w:t>2碳钢管的焊接，宜采用氩弧焊作底焊。不锈钢管应采用氩弧焊；</w:t>
      </w:r>
    </w:p>
    <w:p>
      <w:pPr>
        <w:pStyle w:val="8"/>
        <w:ind w:firstLine="664" w:firstLineChars="277"/>
        <w:rPr>
          <w:sz w:val="24"/>
        </w:rPr>
      </w:pPr>
      <w:r>
        <w:rPr>
          <w:sz w:val="24"/>
        </w:rPr>
        <w:t>3管道、阀门、管件等在安装过程中及安装后，应采用严格措施防止焊渣、铁锈及可燃物等进入或遗留在管内；</w:t>
      </w:r>
    </w:p>
    <w:p>
      <w:pPr>
        <w:pStyle w:val="8"/>
        <w:ind w:firstLine="664" w:firstLineChars="277"/>
        <w:rPr>
          <w:sz w:val="24"/>
        </w:rPr>
      </w:pPr>
      <w:r>
        <w:rPr>
          <w:sz w:val="24"/>
        </w:rPr>
        <w:t>4 管道的试验介质和试验压力，应符合表12.1.12的规定；</w:t>
      </w:r>
    </w:p>
    <w:p>
      <w:pPr>
        <w:pStyle w:val="8"/>
        <w:ind w:firstLine="664" w:firstLineChars="277"/>
        <w:rPr>
          <w:sz w:val="24"/>
        </w:rPr>
      </w:pPr>
      <w:r>
        <w:rPr>
          <w:sz w:val="24"/>
        </w:rPr>
        <w:t>5泄漏量试验合格后，</w:t>
      </w:r>
      <w:r>
        <w:rPr>
          <w:rFonts w:hint="eastAsia"/>
          <w:sz w:val="24"/>
        </w:rPr>
        <w:t>应</w:t>
      </w:r>
      <w:r>
        <w:rPr>
          <w:sz w:val="24"/>
        </w:rPr>
        <w:t>用不含油的空气或氮气，以不小于20m/s的流速进行吹扫，直至出口无铁锈、无尘土及其他脏物为合格。</w:t>
      </w:r>
    </w:p>
    <w:p>
      <w:pPr>
        <w:pStyle w:val="8"/>
        <w:ind w:firstLine="420"/>
        <w:jc w:val="center"/>
        <w:rPr>
          <w:sz w:val="21"/>
        </w:rPr>
      </w:pPr>
      <w:r>
        <w:rPr>
          <w:sz w:val="21"/>
        </w:rPr>
        <w:t>表12.1.12  氢气管道的试验介质和试验压力</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251"/>
        <w:gridCol w:w="1130"/>
        <w:gridCol w:w="1274"/>
        <w:gridCol w:w="1257"/>
        <w:gridCol w:w="1354"/>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vMerge w:val="restart"/>
            <w:vAlign w:val="center"/>
          </w:tcPr>
          <w:p>
            <w:pPr>
              <w:pStyle w:val="8"/>
              <w:spacing w:line="300" w:lineRule="atLeast"/>
              <w:ind w:firstLine="0" w:firstLineChars="0"/>
              <w:jc w:val="center"/>
              <w:rPr>
                <w:sz w:val="21"/>
              </w:rPr>
            </w:pPr>
            <w:r>
              <w:rPr>
                <w:sz w:val="21"/>
              </w:rPr>
              <w:t>管道设计压力</w:t>
            </w:r>
          </w:p>
          <w:p>
            <w:pPr>
              <w:pStyle w:val="8"/>
              <w:spacing w:line="300" w:lineRule="atLeast"/>
              <w:ind w:firstLine="0" w:firstLineChars="0"/>
              <w:jc w:val="center"/>
              <w:rPr>
                <w:sz w:val="21"/>
                <w:highlight w:val="yellow"/>
              </w:rPr>
            </w:pPr>
            <w:r>
              <w:rPr>
                <w:sz w:val="21"/>
              </w:rPr>
              <w:t>P（MP</w:t>
            </w:r>
            <w:r>
              <w:rPr>
                <w:sz w:val="21"/>
                <w:vertAlign w:val="subscript"/>
              </w:rPr>
              <w:t>a</w:t>
            </w:r>
            <w:r>
              <w:rPr>
                <w:sz w:val="21"/>
              </w:rPr>
              <w:t>）</w:t>
            </w:r>
          </w:p>
        </w:tc>
        <w:tc>
          <w:tcPr>
            <w:tcW w:w="2381" w:type="dxa"/>
            <w:gridSpan w:val="2"/>
            <w:vAlign w:val="center"/>
          </w:tcPr>
          <w:p>
            <w:pPr>
              <w:pStyle w:val="8"/>
              <w:spacing w:line="300" w:lineRule="atLeast"/>
              <w:ind w:firstLine="420"/>
              <w:jc w:val="center"/>
              <w:rPr>
                <w:sz w:val="21"/>
                <w:highlight w:val="yellow"/>
              </w:rPr>
            </w:pPr>
            <w:r>
              <w:rPr>
                <w:sz w:val="21"/>
              </w:rPr>
              <w:t>强度试验</w:t>
            </w:r>
          </w:p>
        </w:tc>
        <w:tc>
          <w:tcPr>
            <w:tcW w:w="2531" w:type="dxa"/>
            <w:gridSpan w:val="2"/>
            <w:vAlign w:val="center"/>
          </w:tcPr>
          <w:p>
            <w:pPr>
              <w:pStyle w:val="8"/>
              <w:spacing w:line="300" w:lineRule="atLeast"/>
              <w:ind w:firstLine="0" w:firstLineChars="0"/>
              <w:jc w:val="center"/>
              <w:rPr>
                <w:sz w:val="21"/>
                <w:highlight w:val="yellow"/>
              </w:rPr>
            </w:pPr>
            <w:r>
              <w:rPr>
                <w:sz w:val="21"/>
              </w:rPr>
              <w:t>气密性试验</w:t>
            </w:r>
          </w:p>
        </w:tc>
        <w:tc>
          <w:tcPr>
            <w:tcW w:w="2356" w:type="dxa"/>
            <w:gridSpan w:val="2"/>
            <w:vAlign w:val="center"/>
          </w:tcPr>
          <w:p>
            <w:pPr>
              <w:pStyle w:val="8"/>
              <w:spacing w:line="300" w:lineRule="atLeast"/>
              <w:ind w:firstLine="210" w:firstLineChars="100"/>
              <w:jc w:val="center"/>
              <w:rPr>
                <w:sz w:val="21"/>
              </w:rPr>
            </w:pPr>
            <w:r>
              <w:rPr>
                <w:sz w:val="21"/>
              </w:rPr>
              <w:t>泄漏量试验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vMerge w:val="continue"/>
            <w:vAlign w:val="center"/>
          </w:tcPr>
          <w:p>
            <w:pPr>
              <w:pStyle w:val="8"/>
              <w:spacing w:line="300" w:lineRule="atLeast"/>
              <w:ind w:firstLine="0" w:firstLineChars="0"/>
              <w:jc w:val="center"/>
              <w:rPr>
                <w:sz w:val="21"/>
                <w:highlight w:val="yellow"/>
              </w:rPr>
            </w:pPr>
          </w:p>
        </w:tc>
        <w:tc>
          <w:tcPr>
            <w:tcW w:w="1251" w:type="dxa"/>
            <w:vAlign w:val="center"/>
          </w:tcPr>
          <w:p>
            <w:pPr>
              <w:pStyle w:val="8"/>
              <w:spacing w:line="300" w:lineRule="atLeast"/>
              <w:ind w:firstLine="0" w:firstLineChars="0"/>
              <w:jc w:val="center"/>
              <w:rPr>
                <w:sz w:val="21"/>
                <w:highlight w:val="yellow"/>
              </w:rPr>
            </w:pPr>
            <w:r>
              <w:rPr>
                <w:sz w:val="21"/>
              </w:rPr>
              <w:t>试验介质</w:t>
            </w:r>
          </w:p>
        </w:tc>
        <w:tc>
          <w:tcPr>
            <w:tcW w:w="1130" w:type="dxa"/>
            <w:vAlign w:val="center"/>
          </w:tcPr>
          <w:p>
            <w:pPr>
              <w:pStyle w:val="8"/>
              <w:spacing w:line="300" w:lineRule="atLeast"/>
              <w:ind w:firstLine="0" w:firstLineChars="0"/>
              <w:jc w:val="center"/>
              <w:rPr>
                <w:sz w:val="21"/>
                <w:highlight w:val="yellow"/>
              </w:rPr>
            </w:pPr>
            <w:r>
              <w:rPr>
                <w:sz w:val="21"/>
              </w:rPr>
              <w:t>试验压力（MP</w:t>
            </w:r>
            <w:r>
              <w:rPr>
                <w:sz w:val="21"/>
                <w:vertAlign w:val="subscript"/>
              </w:rPr>
              <w:t>a</w:t>
            </w:r>
            <w:r>
              <w:rPr>
                <w:sz w:val="21"/>
              </w:rPr>
              <w:t>）</w:t>
            </w:r>
          </w:p>
        </w:tc>
        <w:tc>
          <w:tcPr>
            <w:tcW w:w="1274" w:type="dxa"/>
            <w:vAlign w:val="center"/>
          </w:tcPr>
          <w:p>
            <w:pPr>
              <w:pStyle w:val="8"/>
              <w:spacing w:line="300" w:lineRule="atLeast"/>
              <w:ind w:firstLine="0" w:firstLineChars="0"/>
              <w:jc w:val="center"/>
              <w:rPr>
                <w:sz w:val="21"/>
                <w:highlight w:val="yellow"/>
              </w:rPr>
            </w:pPr>
            <w:r>
              <w:rPr>
                <w:sz w:val="21"/>
              </w:rPr>
              <w:t>试验介质</w:t>
            </w:r>
          </w:p>
        </w:tc>
        <w:tc>
          <w:tcPr>
            <w:tcW w:w="1257" w:type="dxa"/>
            <w:vAlign w:val="center"/>
          </w:tcPr>
          <w:p>
            <w:pPr>
              <w:pStyle w:val="8"/>
              <w:spacing w:line="300" w:lineRule="atLeast"/>
              <w:ind w:firstLine="0" w:firstLineChars="0"/>
              <w:jc w:val="center"/>
              <w:rPr>
                <w:sz w:val="21"/>
                <w:highlight w:val="yellow"/>
              </w:rPr>
            </w:pPr>
            <w:r>
              <w:rPr>
                <w:sz w:val="21"/>
              </w:rPr>
              <w:t>试验压力（MP</w:t>
            </w:r>
            <w:r>
              <w:rPr>
                <w:sz w:val="21"/>
                <w:vertAlign w:val="subscript"/>
              </w:rPr>
              <w:t>a</w:t>
            </w:r>
            <w:r>
              <w:rPr>
                <w:sz w:val="21"/>
              </w:rPr>
              <w:t>）</w:t>
            </w:r>
          </w:p>
        </w:tc>
        <w:tc>
          <w:tcPr>
            <w:tcW w:w="1354" w:type="dxa"/>
            <w:vAlign w:val="center"/>
          </w:tcPr>
          <w:p>
            <w:pPr>
              <w:pStyle w:val="8"/>
              <w:spacing w:line="300" w:lineRule="atLeast"/>
              <w:ind w:firstLine="0" w:firstLineChars="0"/>
              <w:jc w:val="center"/>
              <w:rPr>
                <w:sz w:val="21"/>
                <w:highlight w:val="yellow"/>
              </w:rPr>
            </w:pPr>
            <w:r>
              <w:rPr>
                <w:sz w:val="21"/>
              </w:rPr>
              <w:t>试验介质</w:t>
            </w:r>
          </w:p>
        </w:tc>
        <w:tc>
          <w:tcPr>
            <w:tcW w:w="1002" w:type="dxa"/>
            <w:vAlign w:val="center"/>
          </w:tcPr>
          <w:p>
            <w:pPr>
              <w:pStyle w:val="8"/>
              <w:spacing w:line="300" w:lineRule="atLeast"/>
              <w:ind w:firstLine="0" w:firstLineChars="0"/>
              <w:jc w:val="center"/>
              <w:rPr>
                <w:sz w:val="21"/>
              </w:rPr>
            </w:pPr>
            <w:r>
              <w:rPr>
                <w:sz w:val="21"/>
              </w:rPr>
              <w:t>试验压力（MP</w:t>
            </w:r>
            <w:r>
              <w:rPr>
                <w:sz w:val="21"/>
                <w:vertAlign w:val="subscript"/>
              </w:rPr>
              <w:t>a</w:t>
            </w:r>
            <w:r>
              <w:rPr>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vAlign w:val="center"/>
          </w:tcPr>
          <w:p>
            <w:pPr>
              <w:pStyle w:val="8"/>
              <w:spacing w:line="300" w:lineRule="atLeast"/>
              <w:ind w:firstLine="0" w:firstLineChars="0"/>
              <w:jc w:val="center"/>
              <w:rPr>
                <w:sz w:val="21"/>
                <w:highlight w:val="yellow"/>
              </w:rPr>
            </w:pPr>
            <w:r>
              <w:rPr>
                <w:sz w:val="21"/>
              </w:rPr>
              <w:t>&lt;0.1</w:t>
            </w:r>
          </w:p>
        </w:tc>
        <w:tc>
          <w:tcPr>
            <w:tcW w:w="1260" w:type="dxa"/>
            <w:vMerge w:val="restart"/>
            <w:vAlign w:val="center"/>
          </w:tcPr>
          <w:p>
            <w:pPr>
              <w:pStyle w:val="8"/>
              <w:spacing w:line="300" w:lineRule="atLeast"/>
              <w:ind w:firstLine="0" w:firstLineChars="0"/>
              <w:jc w:val="center"/>
              <w:rPr>
                <w:sz w:val="21"/>
                <w:highlight w:val="yellow"/>
              </w:rPr>
            </w:pPr>
            <w:r>
              <w:rPr>
                <w:sz w:val="21"/>
              </w:rPr>
              <w:t>空气或氮气</w:t>
            </w:r>
          </w:p>
        </w:tc>
        <w:tc>
          <w:tcPr>
            <w:tcW w:w="1131" w:type="dxa"/>
            <w:vAlign w:val="center"/>
          </w:tcPr>
          <w:p>
            <w:pPr>
              <w:pStyle w:val="8"/>
              <w:spacing w:line="300" w:lineRule="atLeast"/>
              <w:ind w:firstLine="0" w:firstLineChars="0"/>
              <w:jc w:val="center"/>
              <w:rPr>
                <w:sz w:val="21"/>
                <w:highlight w:val="yellow"/>
              </w:rPr>
            </w:pPr>
            <w:r>
              <w:rPr>
                <w:sz w:val="21"/>
              </w:rPr>
              <w:t>0.1</w:t>
            </w:r>
          </w:p>
        </w:tc>
        <w:tc>
          <w:tcPr>
            <w:tcW w:w="1284" w:type="dxa"/>
            <w:vMerge w:val="restart"/>
            <w:vAlign w:val="center"/>
          </w:tcPr>
          <w:p>
            <w:pPr>
              <w:pStyle w:val="8"/>
              <w:spacing w:line="300" w:lineRule="atLeast"/>
              <w:ind w:firstLine="0" w:firstLineChars="0"/>
              <w:rPr>
                <w:sz w:val="21"/>
                <w:highlight w:val="yellow"/>
              </w:rPr>
            </w:pPr>
            <w:r>
              <w:rPr>
                <w:sz w:val="21"/>
              </w:rPr>
              <w:t>空气或氮气</w:t>
            </w:r>
          </w:p>
        </w:tc>
        <w:tc>
          <w:tcPr>
            <w:tcW w:w="1260" w:type="dxa"/>
            <w:vAlign w:val="center"/>
          </w:tcPr>
          <w:p>
            <w:pPr>
              <w:pStyle w:val="8"/>
              <w:spacing w:line="300" w:lineRule="atLeast"/>
              <w:ind w:firstLine="0" w:firstLineChars="0"/>
              <w:jc w:val="center"/>
              <w:rPr>
                <w:sz w:val="21"/>
                <w:highlight w:val="yellow"/>
              </w:rPr>
            </w:pPr>
            <w:r>
              <w:rPr>
                <w:sz w:val="21"/>
              </w:rPr>
              <w:t>1.05P</w:t>
            </w:r>
          </w:p>
        </w:tc>
        <w:tc>
          <w:tcPr>
            <w:tcW w:w="1365" w:type="dxa"/>
            <w:vAlign w:val="center"/>
          </w:tcPr>
          <w:p>
            <w:pPr>
              <w:pStyle w:val="8"/>
              <w:spacing w:line="300" w:lineRule="atLeast"/>
              <w:ind w:firstLine="0" w:firstLineChars="0"/>
              <w:rPr>
                <w:sz w:val="21"/>
                <w:highlight w:val="lightGray"/>
              </w:rPr>
            </w:pPr>
            <w:r>
              <w:rPr>
                <w:sz w:val="21"/>
              </w:rPr>
              <w:t>空气或氮气</w:t>
            </w:r>
          </w:p>
        </w:tc>
        <w:tc>
          <w:tcPr>
            <w:tcW w:w="965" w:type="dxa"/>
            <w:vAlign w:val="center"/>
          </w:tcPr>
          <w:p>
            <w:pPr>
              <w:pStyle w:val="8"/>
              <w:spacing w:line="300" w:lineRule="atLeast"/>
              <w:ind w:firstLine="0" w:firstLineChars="0"/>
              <w:jc w:val="center"/>
              <w:rPr>
                <w:sz w:val="21"/>
              </w:rPr>
            </w:pPr>
            <w:r>
              <w:rPr>
                <w:sz w:val="21"/>
              </w:rPr>
              <w:t>1.0P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vAlign w:val="center"/>
          </w:tcPr>
          <w:p>
            <w:pPr>
              <w:pStyle w:val="8"/>
              <w:spacing w:line="300" w:lineRule="atLeast"/>
              <w:ind w:firstLine="0" w:firstLineChars="0"/>
              <w:jc w:val="center"/>
              <w:rPr>
                <w:sz w:val="21"/>
                <w:highlight w:val="yellow"/>
              </w:rPr>
            </w:pPr>
            <w:r>
              <w:rPr>
                <w:sz w:val="21"/>
              </w:rPr>
              <w:t>0.1～10 .0</w:t>
            </w:r>
          </w:p>
        </w:tc>
        <w:tc>
          <w:tcPr>
            <w:tcW w:w="1251" w:type="dxa"/>
            <w:vMerge w:val="continue"/>
            <w:vAlign w:val="center"/>
          </w:tcPr>
          <w:p>
            <w:pPr>
              <w:pStyle w:val="8"/>
              <w:spacing w:line="300" w:lineRule="atLeast"/>
              <w:ind w:firstLine="0" w:firstLineChars="0"/>
              <w:jc w:val="center"/>
              <w:rPr>
                <w:sz w:val="21"/>
                <w:highlight w:val="yellow"/>
              </w:rPr>
            </w:pPr>
          </w:p>
        </w:tc>
        <w:tc>
          <w:tcPr>
            <w:tcW w:w="1130" w:type="dxa"/>
            <w:vAlign w:val="center"/>
          </w:tcPr>
          <w:p>
            <w:pPr>
              <w:pStyle w:val="8"/>
              <w:spacing w:line="300" w:lineRule="atLeast"/>
              <w:ind w:firstLine="0" w:firstLineChars="0"/>
              <w:jc w:val="center"/>
              <w:rPr>
                <w:sz w:val="21"/>
                <w:highlight w:val="yellow"/>
              </w:rPr>
            </w:pPr>
            <w:r>
              <w:rPr>
                <w:sz w:val="21"/>
              </w:rPr>
              <w:t>1.15P</w:t>
            </w:r>
          </w:p>
        </w:tc>
        <w:tc>
          <w:tcPr>
            <w:tcW w:w="1274" w:type="dxa"/>
            <w:vMerge w:val="continue"/>
            <w:vAlign w:val="center"/>
          </w:tcPr>
          <w:p>
            <w:pPr>
              <w:pStyle w:val="8"/>
              <w:spacing w:line="300" w:lineRule="atLeast"/>
              <w:ind w:firstLine="0" w:firstLineChars="0"/>
              <w:jc w:val="center"/>
              <w:rPr>
                <w:sz w:val="21"/>
                <w:highlight w:val="yellow"/>
              </w:rPr>
            </w:pPr>
          </w:p>
        </w:tc>
        <w:tc>
          <w:tcPr>
            <w:tcW w:w="1257" w:type="dxa"/>
            <w:vAlign w:val="center"/>
          </w:tcPr>
          <w:p>
            <w:pPr>
              <w:pStyle w:val="8"/>
              <w:spacing w:line="300" w:lineRule="atLeast"/>
              <w:ind w:firstLine="0" w:firstLineChars="0"/>
              <w:jc w:val="center"/>
              <w:rPr>
                <w:sz w:val="21"/>
                <w:highlight w:val="yellow"/>
              </w:rPr>
            </w:pPr>
            <w:r>
              <w:rPr>
                <w:sz w:val="21"/>
              </w:rPr>
              <w:t>1.05P</w:t>
            </w:r>
          </w:p>
        </w:tc>
        <w:tc>
          <w:tcPr>
            <w:tcW w:w="1354" w:type="dxa"/>
            <w:vMerge w:val="restart"/>
            <w:vAlign w:val="center"/>
          </w:tcPr>
          <w:p>
            <w:pPr>
              <w:pStyle w:val="8"/>
              <w:spacing w:line="300" w:lineRule="atLeast"/>
              <w:ind w:firstLine="0" w:firstLineChars="0"/>
              <w:jc w:val="center"/>
              <w:rPr>
                <w:sz w:val="21"/>
                <w:highlight w:val="lightGray"/>
              </w:rPr>
            </w:pPr>
            <w:r>
              <w:rPr>
                <w:sz w:val="21"/>
              </w:rPr>
              <w:t>氮气或氦气</w:t>
            </w:r>
          </w:p>
        </w:tc>
        <w:tc>
          <w:tcPr>
            <w:tcW w:w="1002" w:type="dxa"/>
            <w:vAlign w:val="center"/>
          </w:tcPr>
          <w:p>
            <w:pPr>
              <w:pStyle w:val="8"/>
              <w:spacing w:line="300" w:lineRule="atLeast"/>
              <w:ind w:firstLine="0" w:firstLineChars="0"/>
              <w:jc w:val="center"/>
              <w:rPr>
                <w:sz w:val="21"/>
              </w:rPr>
            </w:pPr>
            <w:r>
              <w:rPr>
                <w:sz w:val="21"/>
              </w:rPr>
              <w:t>1.0P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0" w:type="dxa"/>
            <w:vAlign w:val="center"/>
          </w:tcPr>
          <w:p>
            <w:pPr>
              <w:pStyle w:val="8"/>
              <w:spacing w:line="300" w:lineRule="atLeast"/>
              <w:ind w:firstLine="0" w:firstLineChars="0"/>
              <w:jc w:val="center"/>
              <w:rPr>
                <w:sz w:val="21"/>
                <w:highlight w:val="yellow"/>
              </w:rPr>
            </w:pPr>
            <w:r>
              <w:rPr>
                <w:sz w:val="21"/>
              </w:rPr>
              <w:t>&gt;10.0</w:t>
            </w:r>
          </w:p>
        </w:tc>
        <w:tc>
          <w:tcPr>
            <w:tcW w:w="1251" w:type="dxa"/>
            <w:vMerge w:val="continue"/>
            <w:vAlign w:val="center"/>
          </w:tcPr>
          <w:p>
            <w:pPr>
              <w:pStyle w:val="8"/>
              <w:spacing w:line="300" w:lineRule="atLeast"/>
              <w:ind w:firstLine="0" w:firstLineChars="0"/>
              <w:jc w:val="center"/>
              <w:rPr>
                <w:sz w:val="21"/>
                <w:highlight w:val="yellow"/>
              </w:rPr>
            </w:pPr>
          </w:p>
        </w:tc>
        <w:tc>
          <w:tcPr>
            <w:tcW w:w="1130" w:type="dxa"/>
            <w:vAlign w:val="center"/>
          </w:tcPr>
          <w:p>
            <w:pPr>
              <w:pStyle w:val="8"/>
              <w:spacing w:line="300" w:lineRule="atLeast"/>
              <w:ind w:firstLine="0" w:firstLineChars="0"/>
              <w:jc w:val="center"/>
              <w:rPr>
                <w:sz w:val="21"/>
                <w:highlight w:val="yellow"/>
              </w:rPr>
            </w:pPr>
            <w:r>
              <w:rPr>
                <w:sz w:val="21"/>
              </w:rPr>
              <w:t>1.1P</w:t>
            </w:r>
          </w:p>
        </w:tc>
        <w:tc>
          <w:tcPr>
            <w:tcW w:w="1274" w:type="dxa"/>
            <w:vMerge w:val="continue"/>
            <w:vAlign w:val="center"/>
          </w:tcPr>
          <w:p>
            <w:pPr>
              <w:pStyle w:val="8"/>
              <w:spacing w:line="300" w:lineRule="atLeast"/>
              <w:ind w:firstLine="0" w:firstLineChars="0"/>
              <w:jc w:val="center"/>
              <w:rPr>
                <w:sz w:val="21"/>
                <w:highlight w:val="yellow"/>
              </w:rPr>
            </w:pPr>
          </w:p>
        </w:tc>
        <w:tc>
          <w:tcPr>
            <w:tcW w:w="1257" w:type="dxa"/>
            <w:vAlign w:val="center"/>
          </w:tcPr>
          <w:p>
            <w:pPr>
              <w:pStyle w:val="8"/>
              <w:spacing w:line="300" w:lineRule="atLeast"/>
              <w:ind w:firstLine="0" w:firstLineChars="0"/>
              <w:jc w:val="center"/>
              <w:rPr>
                <w:sz w:val="21"/>
                <w:highlight w:val="yellow"/>
              </w:rPr>
            </w:pPr>
            <w:r>
              <w:rPr>
                <w:sz w:val="21"/>
              </w:rPr>
              <w:t>1.05P</w:t>
            </w:r>
          </w:p>
        </w:tc>
        <w:tc>
          <w:tcPr>
            <w:tcW w:w="1354" w:type="dxa"/>
            <w:vMerge w:val="continue"/>
            <w:vAlign w:val="center"/>
          </w:tcPr>
          <w:p>
            <w:pPr>
              <w:pStyle w:val="8"/>
              <w:spacing w:line="300" w:lineRule="atLeast"/>
              <w:ind w:firstLine="0" w:firstLineChars="0"/>
              <w:jc w:val="center"/>
              <w:rPr>
                <w:sz w:val="21"/>
                <w:highlight w:val="yellow"/>
              </w:rPr>
            </w:pPr>
          </w:p>
        </w:tc>
        <w:tc>
          <w:tcPr>
            <w:tcW w:w="1002" w:type="dxa"/>
            <w:vAlign w:val="center"/>
          </w:tcPr>
          <w:p>
            <w:pPr>
              <w:pStyle w:val="8"/>
              <w:spacing w:line="300" w:lineRule="atLeast"/>
              <w:ind w:firstLine="0" w:firstLineChars="0"/>
              <w:jc w:val="center"/>
              <w:rPr>
                <w:sz w:val="21"/>
              </w:rPr>
            </w:pPr>
            <w:r>
              <w:rPr>
                <w:sz w:val="21"/>
              </w:rPr>
              <w:t>1.0P</w:t>
            </w:r>
          </w:p>
        </w:tc>
      </w:tr>
    </w:tbl>
    <w:p>
      <w:pPr>
        <w:pStyle w:val="8"/>
        <w:ind w:firstLine="420"/>
        <w:rPr>
          <w:sz w:val="21"/>
        </w:rPr>
      </w:pPr>
      <w:r>
        <w:rPr>
          <w:sz w:val="21"/>
        </w:rPr>
        <w:t>注：1 表中</w:t>
      </w:r>
      <w:r>
        <w:rPr>
          <w:rFonts w:hint="eastAsia"/>
          <w:sz w:val="21"/>
        </w:rPr>
        <w:t>P指氢气管道设计压力。</w:t>
      </w:r>
    </w:p>
    <w:p>
      <w:pPr>
        <w:pStyle w:val="8"/>
        <w:ind w:firstLine="840" w:firstLineChars="400"/>
        <w:rPr>
          <w:sz w:val="21"/>
        </w:rPr>
      </w:pPr>
      <w:r>
        <w:rPr>
          <w:sz w:val="21"/>
        </w:rPr>
        <w:t>2试验介质不应含油</w:t>
      </w:r>
      <w:r>
        <w:rPr>
          <w:rFonts w:hint="eastAsia"/>
          <w:sz w:val="21"/>
        </w:rPr>
        <w:t>。</w:t>
      </w:r>
    </w:p>
    <w:p>
      <w:pPr>
        <w:pStyle w:val="8"/>
        <w:ind w:firstLine="840" w:firstLineChars="400"/>
        <w:rPr>
          <w:sz w:val="21"/>
        </w:rPr>
      </w:pPr>
      <w:r>
        <w:rPr>
          <w:sz w:val="21"/>
        </w:rPr>
        <w:t>3</w:t>
      </w:r>
      <w:r>
        <w:rPr>
          <w:rFonts w:hint="eastAsia"/>
          <w:sz w:val="21"/>
        </w:rPr>
        <w:t>以</w:t>
      </w:r>
      <w:r>
        <w:rPr>
          <w:sz w:val="21"/>
        </w:rPr>
        <w:t>空气或氮气或氦气进行压力试验时，应制定安全措施</w:t>
      </w:r>
      <w:r>
        <w:rPr>
          <w:rFonts w:hint="eastAsia"/>
          <w:sz w:val="21"/>
        </w:rPr>
        <w:t>。</w:t>
      </w:r>
    </w:p>
    <w:p>
      <w:pPr>
        <w:pStyle w:val="8"/>
        <w:ind w:firstLine="840" w:firstLineChars="400"/>
        <w:rPr>
          <w:sz w:val="21"/>
        </w:rPr>
      </w:pPr>
      <w:r>
        <w:rPr>
          <w:sz w:val="21"/>
        </w:rPr>
        <w:t>4强度试验时，应在达到试验压力后保压5min，以无变形、无泄漏为合格。气密性试验达到规定试验压力后，保压10 min，然后降至设计压力，对焊缝及连接部位进行泄漏检查，以无泄漏为合格</w:t>
      </w:r>
      <w:r>
        <w:rPr>
          <w:rFonts w:hint="eastAsia"/>
          <w:sz w:val="21"/>
        </w:rPr>
        <w:t>。</w:t>
      </w:r>
    </w:p>
    <w:p>
      <w:pPr>
        <w:pStyle w:val="8"/>
        <w:ind w:firstLine="840" w:firstLineChars="400"/>
        <w:rPr>
          <w:sz w:val="21"/>
        </w:rPr>
      </w:pPr>
      <w:r>
        <w:rPr>
          <w:sz w:val="21"/>
        </w:rPr>
        <w:t>5泄漏量试验采用氮气时</w:t>
      </w:r>
      <w:r>
        <w:rPr>
          <w:rFonts w:hint="eastAsia"/>
          <w:sz w:val="21"/>
        </w:rPr>
        <w:t>，</w:t>
      </w:r>
      <w:r>
        <w:rPr>
          <w:sz w:val="21"/>
        </w:rPr>
        <w:t>试验时间为</w:t>
      </w:r>
      <w:r>
        <w:rPr>
          <w:rFonts w:hint="eastAsia"/>
          <w:sz w:val="21"/>
        </w:rPr>
        <w:t>24h；采用氦气时，试验</w:t>
      </w:r>
      <w:r>
        <w:rPr>
          <w:sz w:val="21"/>
        </w:rPr>
        <w:t>时间为1.0h，泄漏率以平均每小时小于0.5%为合格。</w:t>
      </w:r>
    </w:p>
    <w:p>
      <w:pPr>
        <w:pStyle w:val="8"/>
        <w:spacing w:line="360" w:lineRule="auto"/>
        <w:ind w:firstLine="0" w:firstLineChars="0"/>
        <w:jc w:val="center"/>
        <w:outlineLvl w:val="1"/>
        <w:rPr>
          <w:sz w:val="24"/>
          <w:szCs w:val="28"/>
        </w:rPr>
      </w:pPr>
      <w:bookmarkStart w:id="21" w:name="_Toc108940943"/>
      <w:r>
        <w:rPr>
          <w:sz w:val="24"/>
          <w:szCs w:val="28"/>
        </w:rPr>
        <w:t>1</w:t>
      </w:r>
      <w:r>
        <w:rPr>
          <w:rFonts w:hint="eastAsia"/>
          <w:sz w:val="24"/>
          <w:szCs w:val="28"/>
        </w:rPr>
        <w:t>2</w:t>
      </w:r>
      <w:r>
        <w:rPr>
          <w:sz w:val="24"/>
          <w:szCs w:val="28"/>
        </w:rPr>
        <w:t>.2 氢气管道及组成件</w:t>
      </w:r>
      <w:bookmarkEnd w:id="21"/>
    </w:p>
    <w:p>
      <w:pPr>
        <w:spacing w:line="360" w:lineRule="auto"/>
        <w:rPr>
          <w:sz w:val="24"/>
          <w:szCs w:val="28"/>
        </w:rPr>
      </w:pPr>
      <w:r>
        <w:rPr>
          <w:sz w:val="24"/>
          <w:szCs w:val="28"/>
        </w:rPr>
        <w:t>1</w:t>
      </w:r>
      <w:r>
        <w:rPr>
          <w:rFonts w:hint="eastAsia"/>
          <w:sz w:val="24"/>
          <w:szCs w:val="28"/>
        </w:rPr>
        <w:t>2</w:t>
      </w:r>
      <w:r>
        <w:rPr>
          <w:sz w:val="24"/>
          <w:szCs w:val="28"/>
        </w:rPr>
        <w:t>.2.1  氢气管道的设计压力不应小于最大工作压力的1.10倍，并应符合下列规定：</w:t>
      </w:r>
    </w:p>
    <w:p>
      <w:pPr>
        <w:spacing w:line="360" w:lineRule="auto"/>
        <w:ind w:firstLine="420"/>
        <w:rPr>
          <w:sz w:val="24"/>
          <w:szCs w:val="28"/>
        </w:rPr>
      </w:pPr>
      <w:r>
        <w:rPr>
          <w:sz w:val="24"/>
          <w:szCs w:val="28"/>
        </w:rPr>
        <w:t>1 当管道与设备直接连接时，管道的设计压力不应小于设备的设计压力；</w:t>
      </w:r>
    </w:p>
    <w:p>
      <w:pPr>
        <w:spacing w:line="360" w:lineRule="auto"/>
        <w:ind w:firstLine="420"/>
        <w:rPr>
          <w:sz w:val="24"/>
          <w:szCs w:val="28"/>
        </w:rPr>
      </w:pPr>
      <w:r>
        <w:rPr>
          <w:sz w:val="24"/>
          <w:szCs w:val="28"/>
        </w:rPr>
        <w:t>2 装有安全泄放装置的管道，设计压力不应小于安全泄放装置的整定压力。</w:t>
      </w:r>
    </w:p>
    <w:p>
      <w:pPr>
        <w:spacing w:line="360" w:lineRule="auto"/>
        <w:rPr>
          <w:sz w:val="24"/>
          <w:szCs w:val="28"/>
        </w:rPr>
      </w:pPr>
      <w:r>
        <w:rPr>
          <w:sz w:val="24"/>
          <w:szCs w:val="28"/>
        </w:rPr>
        <w:t>1</w:t>
      </w:r>
      <w:r>
        <w:rPr>
          <w:rFonts w:hint="eastAsia"/>
          <w:sz w:val="24"/>
          <w:szCs w:val="28"/>
        </w:rPr>
        <w:t>2</w:t>
      </w:r>
      <w:r>
        <w:rPr>
          <w:sz w:val="24"/>
          <w:szCs w:val="28"/>
        </w:rPr>
        <w:t>.2.2  氢气管道的管材应采用无缝钢管</w:t>
      </w:r>
      <w:r>
        <w:rPr>
          <w:rFonts w:hint="eastAsia"/>
          <w:sz w:val="24"/>
          <w:szCs w:val="28"/>
        </w:rPr>
        <w:t>。氢气压力小于等于</w:t>
      </w:r>
      <w:r>
        <w:rPr>
          <w:sz w:val="24"/>
          <w:szCs w:val="28"/>
        </w:rPr>
        <w:t>20MPa时，宜采用20钢或</w:t>
      </w:r>
      <w:r>
        <w:rPr>
          <w:rFonts w:hint="eastAsia"/>
          <w:sz w:val="24"/>
          <w:szCs w:val="28"/>
        </w:rPr>
        <w:t>S30408</w:t>
      </w:r>
      <w:r>
        <w:rPr>
          <w:sz w:val="24"/>
          <w:szCs w:val="28"/>
        </w:rPr>
        <w:t>奥氏体不锈钢</w:t>
      </w:r>
      <w:r>
        <w:rPr>
          <w:rFonts w:hint="eastAsia"/>
          <w:sz w:val="24"/>
          <w:szCs w:val="28"/>
        </w:rPr>
        <w:t>；</w:t>
      </w:r>
      <w:r>
        <w:rPr>
          <w:sz w:val="24"/>
          <w:szCs w:val="28"/>
        </w:rPr>
        <w:t>氢气压力大于20MPa时，应采用</w:t>
      </w:r>
      <w:r>
        <w:rPr>
          <w:rFonts w:hint="eastAsia"/>
          <w:sz w:val="24"/>
          <w:szCs w:val="28"/>
        </w:rPr>
        <w:t>S31603</w:t>
      </w:r>
      <w:r>
        <w:rPr>
          <w:sz w:val="24"/>
          <w:szCs w:val="28"/>
        </w:rPr>
        <w:t>奥氏体不锈钢</w:t>
      </w:r>
      <w:r>
        <w:rPr>
          <w:rFonts w:hint="eastAsia"/>
          <w:sz w:val="24"/>
          <w:szCs w:val="28"/>
        </w:rPr>
        <w:t>或经试验验证具有良好氢相容性的其它材料。选用S31603时的</w:t>
      </w:r>
      <w:r>
        <w:rPr>
          <w:sz w:val="24"/>
          <w:szCs w:val="28"/>
        </w:rPr>
        <w:t>镍含量应大于</w:t>
      </w:r>
      <w:r>
        <w:rPr>
          <w:rFonts w:hint="eastAsia"/>
          <w:sz w:val="24"/>
          <w:szCs w:val="28"/>
        </w:rPr>
        <w:t>等于</w:t>
      </w:r>
      <w:r>
        <w:rPr>
          <w:sz w:val="24"/>
          <w:szCs w:val="28"/>
        </w:rPr>
        <w:t>12%，且镍当量不应小于28.5%，镍当量应按下式计算：</w:t>
      </w:r>
    </w:p>
    <w:p>
      <w:pPr>
        <w:spacing w:line="360" w:lineRule="auto"/>
        <w:jc w:val="center"/>
        <w:rPr>
          <w:szCs w:val="21"/>
        </w:rPr>
      </w:pPr>
      <w:r>
        <w:rPr>
          <w:position w:val="-8"/>
          <w:szCs w:val="21"/>
        </w:rPr>
        <w:object>
          <v:shape id="_x0000_i1025" o:spt="75" type="#_x0000_t75" style="height:16.5pt;width:244.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p>
    <w:p>
      <w:pPr>
        <w:spacing w:line="360" w:lineRule="auto"/>
        <w:ind w:left="210" w:leftChars="100" w:firstLine="435"/>
        <w:jc w:val="left"/>
        <w:rPr>
          <w:sz w:val="24"/>
          <w:szCs w:val="21"/>
        </w:rPr>
      </w:pPr>
      <w:r>
        <w:rPr>
          <w:sz w:val="24"/>
          <w:szCs w:val="21"/>
        </w:rPr>
        <w:t>式中：</w:t>
      </w:r>
    </w:p>
    <w:p>
      <w:pPr>
        <w:spacing w:line="360" w:lineRule="auto"/>
        <w:ind w:left="420" w:firstLine="420"/>
        <w:rPr>
          <w:sz w:val="24"/>
          <w:szCs w:val="21"/>
        </w:rPr>
      </w:pPr>
      <w:r>
        <w:rPr>
          <w:sz w:val="24"/>
          <w:szCs w:val="21"/>
        </w:rPr>
        <w:t>Ni</w:t>
      </w:r>
      <w:r>
        <w:rPr>
          <w:sz w:val="24"/>
          <w:szCs w:val="21"/>
          <w:vertAlign w:val="subscript"/>
        </w:rPr>
        <w:t>eq</w:t>
      </w:r>
      <w:r>
        <w:rPr>
          <w:sz w:val="24"/>
          <w:szCs w:val="21"/>
          <w:vertAlign w:val="subscript"/>
        </w:rPr>
        <w:tab/>
      </w:r>
      <w:r>
        <w:rPr>
          <w:sz w:val="24"/>
          <w:szCs w:val="21"/>
          <w:vertAlign w:val="subscript"/>
        </w:rPr>
        <w:t>——</w:t>
      </w:r>
      <w:r>
        <w:rPr>
          <w:sz w:val="24"/>
          <w:szCs w:val="21"/>
          <w:vertAlign w:val="subscript"/>
        </w:rPr>
        <w:tab/>
      </w:r>
      <w:r>
        <w:rPr>
          <w:sz w:val="24"/>
          <w:szCs w:val="21"/>
        </w:rPr>
        <w:t>奥氏体不锈钢材料的镍当量；</w:t>
      </w:r>
    </w:p>
    <w:p>
      <w:pPr>
        <w:spacing w:line="360" w:lineRule="auto"/>
        <w:ind w:firstLine="420"/>
        <w:rPr>
          <w:sz w:val="24"/>
          <w:szCs w:val="21"/>
        </w:rPr>
      </w:pPr>
      <w:r>
        <w:rPr>
          <w:sz w:val="24"/>
          <w:szCs w:val="21"/>
        </w:rPr>
        <w:tab/>
      </w:r>
      <w:r>
        <w:rPr>
          <w:sz w:val="24"/>
          <w:szCs w:val="21"/>
        </w:rPr>
        <w:t>Ni</w:t>
      </w:r>
      <w:r>
        <w:rPr>
          <w:sz w:val="24"/>
          <w:szCs w:val="21"/>
        </w:rPr>
        <w:tab/>
      </w:r>
      <w:r>
        <w:rPr>
          <w:sz w:val="24"/>
          <w:szCs w:val="21"/>
          <w:vertAlign w:val="subscript"/>
        </w:rPr>
        <w:t>——</w:t>
      </w:r>
      <w:r>
        <w:rPr>
          <w:sz w:val="24"/>
          <w:szCs w:val="21"/>
        </w:rPr>
        <w:tab/>
      </w:r>
      <w:r>
        <w:rPr>
          <w:sz w:val="24"/>
          <w:szCs w:val="21"/>
        </w:rPr>
        <w:t>镍元素质量分数；</w:t>
      </w:r>
    </w:p>
    <w:p>
      <w:pPr>
        <w:spacing w:line="360" w:lineRule="auto"/>
        <w:ind w:firstLine="435"/>
        <w:rPr>
          <w:sz w:val="24"/>
          <w:szCs w:val="21"/>
        </w:rPr>
      </w:pPr>
      <w:r>
        <w:rPr>
          <w:sz w:val="24"/>
          <w:szCs w:val="21"/>
        </w:rPr>
        <w:tab/>
      </w:r>
      <w:r>
        <w:rPr>
          <w:sz w:val="24"/>
          <w:szCs w:val="21"/>
        </w:rPr>
        <w:t>C</w:t>
      </w:r>
      <w:r>
        <w:rPr>
          <w:sz w:val="24"/>
          <w:szCs w:val="21"/>
        </w:rPr>
        <w:tab/>
      </w:r>
      <w:r>
        <w:rPr>
          <w:sz w:val="24"/>
          <w:szCs w:val="21"/>
          <w:vertAlign w:val="subscript"/>
        </w:rPr>
        <w:t>——</w:t>
      </w:r>
      <w:r>
        <w:rPr>
          <w:sz w:val="24"/>
          <w:szCs w:val="21"/>
        </w:rPr>
        <w:tab/>
      </w:r>
      <w:r>
        <w:rPr>
          <w:sz w:val="24"/>
          <w:szCs w:val="21"/>
        </w:rPr>
        <w:t>碳元素质量分数；</w:t>
      </w:r>
    </w:p>
    <w:p>
      <w:pPr>
        <w:spacing w:line="360" w:lineRule="auto"/>
        <w:ind w:firstLine="435"/>
        <w:rPr>
          <w:sz w:val="24"/>
          <w:szCs w:val="21"/>
        </w:rPr>
      </w:pPr>
      <w:r>
        <w:rPr>
          <w:sz w:val="24"/>
          <w:szCs w:val="21"/>
        </w:rPr>
        <w:tab/>
      </w:r>
      <w:r>
        <w:rPr>
          <w:sz w:val="24"/>
          <w:szCs w:val="21"/>
        </w:rPr>
        <w:t>Mn</w:t>
      </w:r>
      <w:r>
        <w:rPr>
          <w:sz w:val="24"/>
          <w:szCs w:val="21"/>
        </w:rPr>
        <w:tab/>
      </w:r>
      <w:r>
        <w:rPr>
          <w:sz w:val="24"/>
          <w:szCs w:val="21"/>
          <w:vertAlign w:val="subscript"/>
        </w:rPr>
        <w:t>——</w:t>
      </w:r>
      <w:r>
        <w:rPr>
          <w:sz w:val="24"/>
          <w:szCs w:val="21"/>
        </w:rPr>
        <w:tab/>
      </w:r>
      <w:r>
        <w:rPr>
          <w:sz w:val="24"/>
          <w:szCs w:val="21"/>
        </w:rPr>
        <w:t>锰元素质量分数；</w:t>
      </w:r>
    </w:p>
    <w:p>
      <w:pPr>
        <w:spacing w:line="360" w:lineRule="auto"/>
        <w:ind w:firstLine="435"/>
        <w:rPr>
          <w:sz w:val="24"/>
          <w:szCs w:val="21"/>
        </w:rPr>
      </w:pPr>
      <w:r>
        <w:rPr>
          <w:sz w:val="24"/>
          <w:szCs w:val="21"/>
        </w:rPr>
        <w:tab/>
      </w:r>
      <w:r>
        <w:rPr>
          <w:sz w:val="24"/>
          <w:szCs w:val="21"/>
        </w:rPr>
        <w:t>Cr</w:t>
      </w:r>
      <w:r>
        <w:rPr>
          <w:sz w:val="24"/>
          <w:szCs w:val="21"/>
        </w:rPr>
        <w:tab/>
      </w:r>
      <w:r>
        <w:rPr>
          <w:sz w:val="24"/>
          <w:szCs w:val="21"/>
          <w:vertAlign w:val="subscript"/>
        </w:rPr>
        <w:t>——</w:t>
      </w:r>
      <w:r>
        <w:rPr>
          <w:sz w:val="24"/>
          <w:szCs w:val="21"/>
        </w:rPr>
        <w:tab/>
      </w:r>
      <w:r>
        <w:rPr>
          <w:sz w:val="24"/>
          <w:szCs w:val="21"/>
        </w:rPr>
        <w:t>铬元素质量分数；</w:t>
      </w:r>
    </w:p>
    <w:p>
      <w:pPr>
        <w:spacing w:line="360" w:lineRule="auto"/>
        <w:ind w:firstLine="435"/>
        <w:rPr>
          <w:sz w:val="24"/>
          <w:szCs w:val="21"/>
        </w:rPr>
      </w:pPr>
      <w:r>
        <w:rPr>
          <w:sz w:val="24"/>
          <w:szCs w:val="21"/>
        </w:rPr>
        <w:tab/>
      </w:r>
      <w:r>
        <w:rPr>
          <w:sz w:val="24"/>
          <w:szCs w:val="21"/>
        </w:rPr>
        <w:t>Mo</w:t>
      </w:r>
      <w:r>
        <w:rPr>
          <w:sz w:val="24"/>
          <w:szCs w:val="21"/>
        </w:rPr>
        <w:tab/>
      </w:r>
      <w:r>
        <w:rPr>
          <w:sz w:val="24"/>
          <w:szCs w:val="21"/>
          <w:vertAlign w:val="subscript"/>
        </w:rPr>
        <w:t>——</w:t>
      </w:r>
      <w:r>
        <w:rPr>
          <w:sz w:val="24"/>
          <w:szCs w:val="21"/>
        </w:rPr>
        <w:tab/>
      </w:r>
      <w:r>
        <w:rPr>
          <w:sz w:val="24"/>
          <w:szCs w:val="21"/>
        </w:rPr>
        <w:t>钼元素质量分数；</w:t>
      </w:r>
    </w:p>
    <w:p>
      <w:pPr>
        <w:spacing w:line="360" w:lineRule="auto"/>
        <w:ind w:left="420" w:firstLine="420"/>
        <w:rPr>
          <w:sz w:val="24"/>
          <w:szCs w:val="21"/>
        </w:rPr>
      </w:pPr>
      <w:r>
        <w:rPr>
          <w:sz w:val="24"/>
          <w:szCs w:val="21"/>
        </w:rPr>
        <w:t>Si</w:t>
      </w:r>
      <w:r>
        <w:rPr>
          <w:sz w:val="24"/>
          <w:szCs w:val="21"/>
        </w:rPr>
        <w:tab/>
      </w:r>
      <w:r>
        <w:rPr>
          <w:sz w:val="24"/>
          <w:szCs w:val="21"/>
          <w:vertAlign w:val="subscript"/>
        </w:rPr>
        <w:t>——</w:t>
      </w:r>
      <w:r>
        <w:rPr>
          <w:sz w:val="24"/>
          <w:szCs w:val="21"/>
        </w:rPr>
        <w:tab/>
      </w:r>
      <w:r>
        <w:rPr>
          <w:sz w:val="24"/>
          <w:szCs w:val="21"/>
        </w:rPr>
        <w:t>硅元素质量分数。</w:t>
      </w:r>
    </w:p>
    <w:p>
      <w:pPr>
        <w:spacing w:line="360" w:lineRule="auto"/>
        <w:rPr>
          <w:sz w:val="24"/>
          <w:szCs w:val="28"/>
        </w:rPr>
      </w:pPr>
      <w:r>
        <w:rPr>
          <w:sz w:val="24"/>
          <w:szCs w:val="28"/>
        </w:rPr>
        <w:t>1</w:t>
      </w:r>
      <w:r>
        <w:rPr>
          <w:rFonts w:hint="eastAsia"/>
          <w:sz w:val="24"/>
          <w:szCs w:val="28"/>
        </w:rPr>
        <w:t>2</w:t>
      </w:r>
      <w:r>
        <w:rPr>
          <w:sz w:val="24"/>
          <w:szCs w:val="28"/>
        </w:rPr>
        <w:t>.2.3  氢气管道的阀门</w:t>
      </w:r>
      <w:r>
        <w:rPr>
          <w:rFonts w:hint="eastAsia"/>
          <w:sz w:val="24"/>
          <w:szCs w:val="28"/>
        </w:rPr>
        <w:t>，</w:t>
      </w:r>
      <w:r>
        <w:rPr>
          <w:sz w:val="24"/>
          <w:szCs w:val="28"/>
        </w:rPr>
        <w:t>应符合下列规定：</w:t>
      </w:r>
    </w:p>
    <w:p>
      <w:pPr>
        <w:spacing w:line="360" w:lineRule="auto"/>
        <w:ind w:firstLine="420"/>
        <w:rPr>
          <w:sz w:val="24"/>
          <w:szCs w:val="28"/>
        </w:rPr>
      </w:pPr>
      <w:r>
        <w:rPr>
          <w:sz w:val="24"/>
          <w:szCs w:val="28"/>
        </w:rPr>
        <w:t>1 氢气管道的切断阀宜采用球阀或截止阀；</w:t>
      </w:r>
    </w:p>
    <w:p>
      <w:pPr>
        <w:spacing w:line="360" w:lineRule="auto"/>
        <w:ind w:firstLine="420"/>
        <w:rPr>
          <w:sz w:val="28"/>
          <w:szCs w:val="28"/>
        </w:rPr>
      </w:pPr>
      <w:r>
        <w:rPr>
          <w:sz w:val="24"/>
          <w:szCs w:val="28"/>
        </w:rPr>
        <w:t>2 阀门的所有材料必须与氢气具有良好的相容性，并应符合表1</w:t>
      </w:r>
      <w:r>
        <w:rPr>
          <w:rFonts w:hint="eastAsia"/>
          <w:sz w:val="24"/>
          <w:szCs w:val="28"/>
        </w:rPr>
        <w:t>3</w:t>
      </w:r>
      <w:r>
        <w:rPr>
          <w:sz w:val="24"/>
          <w:szCs w:val="28"/>
        </w:rPr>
        <w:t>.2.3的规定。</w:t>
      </w:r>
    </w:p>
    <w:p>
      <w:pPr>
        <w:jc w:val="center"/>
        <w:rPr>
          <w:szCs w:val="21"/>
        </w:rPr>
      </w:pPr>
      <w:r>
        <w:rPr>
          <w:szCs w:val="21"/>
        </w:rPr>
        <w:t>表1</w:t>
      </w:r>
      <w:r>
        <w:rPr>
          <w:rFonts w:hint="eastAsia"/>
          <w:szCs w:val="21"/>
        </w:rPr>
        <w:t>3</w:t>
      </w:r>
      <w:r>
        <w:rPr>
          <w:szCs w:val="21"/>
        </w:rPr>
        <w:t>.2.3 氢气阀门材料</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566"/>
        <w:gridCol w:w="2034"/>
        <w:gridCol w:w="1409"/>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pct"/>
            <w:vMerge w:val="restart"/>
            <w:shd w:val="clear" w:color="auto" w:fill="auto"/>
            <w:vAlign w:val="center"/>
          </w:tcPr>
          <w:p>
            <w:pPr>
              <w:jc w:val="center"/>
              <w:rPr>
                <w:szCs w:val="21"/>
                <w:highlight w:val="cyan"/>
              </w:rPr>
            </w:pPr>
            <w:r>
              <w:rPr>
                <w:szCs w:val="21"/>
              </w:rPr>
              <w:t>材料（牌号）</w:t>
            </w:r>
          </w:p>
        </w:tc>
        <w:tc>
          <w:tcPr>
            <w:tcW w:w="918" w:type="pct"/>
            <w:vMerge w:val="restart"/>
            <w:shd w:val="clear" w:color="auto" w:fill="auto"/>
            <w:vAlign w:val="center"/>
          </w:tcPr>
          <w:p>
            <w:pPr>
              <w:jc w:val="center"/>
              <w:rPr>
                <w:szCs w:val="21"/>
                <w:highlight w:val="cyan"/>
              </w:rPr>
            </w:pPr>
            <w:r>
              <w:rPr>
                <w:szCs w:val="21"/>
              </w:rPr>
              <w:t>阀体</w:t>
            </w:r>
          </w:p>
        </w:tc>
        <w:tc>
          <w:tcPr>
            <w:tcW w:w="2018" w:type="pct"/>
            <w:gridSpan w:val="2"/>
            <w:shd w:val="clear" w:color="auto" w:fill="auto"/>
            <w:vAlign w:val="center"/>
          </w:tcPr>
          <w:p>
            <w:pPr>
              <w:jc w:val="center"/>
              <w:rPr>
                <w:szCs w:val="21"/>
                <w:highlight w:val="cyan"/>
              </w:rPr>
            </w:pPr>
            <w:r>
              <w:rPr>
                <w:szCs w:val="21"/>
              </w:rPr>
              <w:t>设计压力（MPa）</w:t>
            </w:r>
          </w:p>
        </w:tc>
        <w:tc>
          <w:tcPr>
            <w:tcW w:w="942" w:type="pct"/>
            <w:vMerge w:val="restart"/>
            <w:shd w:val="clear" w:color="auto" w:fill="auto"/>
            <w:vAlign w:val="center"/>
          </w:tcPr>
          <w:p>
            <w:pPr>
              <w:jc w:val="center"/>
              <w:rPr>
                <w:szCs w:val="21"/>
              </w:rPr>
            </w:pPr>
            <w:r>
              <w:rPr>
                <w:szCs w:val="21"/>
              </w:rPr>
              <w:t>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pct"/>
            <w:vMerge w:val="continue"/>
            <w:shd w:val="clear" w:color="auto" w:fill="auto"/>
            <w:vAlign w:val="center"/>
          </w:tcPr>
          <w:p>
            <w:pPr>
              <w:jc w:val="center"/>
              <w:rPr>
                <w:szCs w:val="21"/>
                <w:highlight w:val="cyan"/>
              </w:rPr>
            </w:pPr>
          </w:p>
        </w:tc>
        <w:tc>
          <w:tcPr>
            <w:tcW w:w="918" w:type="pct"/>
            <w:vMerge w:val="continue"/>
            <w:shd w:val="clear" w:color="auto" w:fill="auto"/>
            <w:vAlign w:val="center"/>
          </w:tcPr>
          <w:p>
            <w:pPr>
              <w:jc w:val="center"/>
              <w:rPr>
                <w:szCs w:val="21"/>
                <w:highlight w:val="cyan"/>
              </w:rPr>
            </w:pPr>
          </w:p>
        </w:tc>
        <w:tc>
          <w:tcPr>
            <w:tcW w:w="1192" w:type="pct"/>
            <w:shd w:val="clear" w:color="auto" w:fill="auto"/>
            <w:vAlign w:val="center"/>
          </w:tcPr>
          <w:p>
            <w:pPr>
              <w:jc w:val="center"/>
              <w:rPr>
                <w:szCs w:val="21"/>
                <w:highlight w:val="lightGray"/>
              </w:rPr>
            </w:pPr>
            <w:r>
              <w:rPr>
                <w:szCs w:val="21"/>
              </w:rPr>
              <w:t>≤</w:t>
            </w:r>
            <w:r>
              <w:rPr>
                <w:rFonts w:hint="eastAsia"/>
                <w:szCs w:val="21"/>
              </w:rPr>
              <w:t>20</w:t>
            </w:r>
          </w:p>
        </w:tc>
        <w:tc>
          <w:tcPr>
            <w:tcW w:w="826" w:type="pct"/>
            <w:shd w:val="clear" w:color="auto" w:fill="auto"/>
            <w:vAlign w:val="center"/>
          </w:tcPr>
          <w:p>
            <w:pPr>
              <w:jc w:val="center"/>
              <w:rPr>
                <w:szCs w:val="21"/>
                <w:highlight w:val="lightGray"/>
              </w:rPr>
            </w:pPr>
            <w:r>
              <w:rPr>
                <w:szCs w:val="21"/>
              </w:rPr>
              <w:t>＞</w:t>
            </w:r>
            <w:r>
              <w:rPr>
                <w:rFonts w:hint="eastAsia"/>
                <w:szCs w:val="21"/>
              </w:rPr>
              <w:t>20</w:t>
            </w:r>
          </w:p>
        </w:tc>
        <w:tc>
          <w:tcPr>
            <w:tcW w:w="942" w:type="pct"/>
            <w:vMerge w:val="continue"/>
            <w:shd w:val="clear" w:color="auto" w:fill="auto"/>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pct"/>
            <w:vMerge w:val="restart"/>
            <w:shd w:val="clear" w:color="auto" w:fill="auto"/>
            <w:vAlign w:val="center"/>
          </w:tcPr>
          <w:p>
            <w:pPr>
              <w:jc w:val="center"/>
              <w:rPr>
                <w:szCs w:val="21"/>
                <w:highlight w:val="lightGray"/>
              </w:rPr>
            </w:pPr>
            <w:r>
              <w:rPr>
                <w:szCs w:val="21"/>
              </w:rPr>
              <w:t>碳钢</w:t>
            </w:r>
          </w:p>
        </w:tc>
        <w:tc>
          <w:tcPr>
            <w:tcW w:w="918" w:type="pct"/>
            <w:shd w:val="clear" w:color="auto" w:fill="auto"/>
            <w:vAlign w:val="center"/>
          </w:tcPr>
          <w:p>
            <w:pPr>
              <w:jc w:val="center"/>
              <w:rPr>
                <w:szCs w:val="21"/>
                <w:highlight w:val="cyan"/>
              </w:rPr>
            </w:pPr>
            <w:r>
              <w:rPr>
                <w:szCs w:val="21"/>
              </w:rPr>
              <w:t>锻件</w:t>
            </w:r>
          </w:p>
        </w:tc>
        <w:tc>
          <w:tcPr>
            <w:tcW w:w="1192" w:type="pct"/>
            <w:shd w:val="clear" w:color="auto" w:fill="auto"/>
            <w:vAlign w:val="center"/>
          </w:tcPr>
          <w:p>
            <w:pPr>
              <w:jc w:val="center"/>
              <w:rPr>
                <w:szCs w:val="21"/>
                <w:highlight w:val="cyan"/>
              </w:rPr>
            </w:pPr>
            <w:r>
              <w:rPr>
                <w:szCs w:val="21"/>
              </w:rPr>
              <w:t>√</w:t>
            </w:r>
          </w:p>
        </w:tc>
        <w:tc>
          <w:tcPr>
            <w:tcW w:w="826" w:type="pct"/>
            <w:shd w:val="clear" w:color="auto" w:fill="auto"/>
            <w:vAlign w:val="center"/>
          </w:tcPr>
          <w:p>
            <w:pPr>
              <w:jc w:val="center"/>
              <w:rPr>
                <w:szCs w:val="21"/>
                <w:highlight w:val="cyan"/>
              </w:rPr>
            </w:pPr>
            <w:r>
              <w:rPr>
                <w:szCs w:val="21"/>
              </w:rPr>
              <w:t>×</w:t>
            </w:r>
          </w:p>
        </w:tc>
        <w:tc>
          <w:tcPr>
            <w:tcW w:w="942" w:type="pct"/>
            <w:shd w:val="clear" w:color="auto" w:fill="auto"/>
            <w:vAlign w:val="center"/>
          </w:tcPr>
          <w:p>
            <w:pPr>
              <w:jc w:val="center"/>
              <w:rPr>
                <w:szCs w:val="21"/>
              </w:rPr>
            </w:pPr>
            <w:r>
              <w:rPr>
                <w:szCs w:val="21"/>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pct"/>
            <w:vMerge w:val="continue"/>
            <w:shd w:val="clear" w:color="auto" w:fill="auto"/>
            <w:vAlign w:val="center"/>
          </w:tcPr>
          <w:p>
            <w:pPr>
              <w:jc w:val="center"/>
              <w:rPr>
                <w:szCs w:val="21"/>
                <w:highlight w:val="lightGray"/>
              </w:rPr>
            </w:pPr>
          </w:p>
        </w:tc>
        <w:tc>
          <w:tcPr>
            <w:tcW w:w="918" w:type="pct"/>
            <w:shd w:val="clear" w:color="auto" w:fill="auto"/>
            <w:vAlign w:val="center"/>
          </w:tcPr>
          <w:p>
            <w:pPr>
              <w:jc w:val="center"/>
              <w:rPr>
                <w:szCs w:val="21"/>
                <w:highlight w:val="cyan"/>
              </w:rPr>
            </w:pPr>
            <w:r>
              <w:rPr>
                <w:szCs w:val="21"/>
              </w:rPr>
              <w:t>铸件</w:t>
            </w:r>
          </w:p>
        </w:tc>
        <w:tc>
          <w:tcPr>
            <w:tcW w:w="1192" w:type="pct"/>
            <w:shd w:val="clear" w:color="auto" w:fill="auto"/>
            <w:vAlign w:val="center"/>
          </w:tcPr>
          <w:p>
            <w:pPr>
              <w:jc w:val="center"/>
              <w:rPr>
                <w:szCs w:val="21"/>
                <w:highlight w:val="cyan"/>
              </w:rPr>
            </w:pPr>
            <w:r>
              <w:rPr>
                <w:szCs w:val="21"/>
              </w:rPr>
              <w:t>√</w:t>
            </w:r>
          </w:p>
        </w:tc>
        <w:tc>
          <w:tcPr>
            <w:tcW w:w="826" w:type="pct"/>
            <w:shd w:val="clear" w:color="auto" w:fill="auto"/>
            <w:vAlign w:val="center"/>
          </w:tcPr>
          <w:p>
            <w:pPr>
              <w:jc w:val="center"/>
              <w:rPr>
                <w:szCs w:val="21"/>
                <w:highlight w:val="cyan"/>
              </w:rPr>
            </w:pPr>
            <w:r>
              <w:rPr>
                <w:szCs w:val="21"/>
              </w:rPr>
              <w:t>×</w:t>
            </w:r>
          </w:p>
        </w:tc>
        <w:tc>
          <w:tcPr>
            <w:tcW w:w="942" w:type="pct"/>
            <w:shd w:val="clear" w:color="auto" w:fill="auto"/>
            <w:vAlign w:val="center"/>
          </w:tcPr>
          <w:p>
            <w:pPr>
              <w:jc w:val="center"/>
              <w:rPr>
                <w:szCs w:val="21"/>
              </w:rPr>
            </w:pPr>
            <w:r>
              <w:rPr>
                <w:szCs w:val="21"/>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pct"/>
            <w:vMerge w:val="restart"/>
            <w:shd w:val="clear" w:color="auto" w:fill="auto"/>
            <w:vAlign w:val="center"/>
          </w:tcPr>
          <w:p>
            <w:pPr>
              <w:jc w:val="center"/>
              <w:rPr>
                <w:szCs w:val="21"/>
                <w:highlight w:val="lightGray"/>
              </w:rPr>
            </w:pPr>
            <w:r>
              <w:rPr>
                <w:szCs w:val="21"/>
              </w:rPr>
              <w:t>铬-钼钢</w:t>
            </w:r>
          </w:p>
        </w:tc>
        <w:tc>
          <w:tcPr>
            <w:tcW w:w="918" w:type="pct"/>
            <w:vMerge w:val="restart"/>
            <w:shd w:val="clear" w:color="auto" w:fill="auto"/>
            <w:vAlign w:val="center"/>
          </w:tcPr>
          <w:p>
            <w:pPr>
              <w:jc w:val="center"/>
              <w:rPr>
                <w:szCs w:val="21"/>
                <w:highlight w:val="cyan"/>
              </w:rPr>
            </w:pPr>
            <w:r>
              <w:rPr>
                <w:szCs w:val="21"/>
              </w:rPr>
              <w:t>锻件</w:t>
            </w:r>
          </w:p>
        </w:tc>
        <w:tc>
          <w:tcPr>
            <w:tcW w:w="1192" w:type="pct"/>
            <w:vMerge w:val="restart"/>
            <w:shd w:val="clear" w:color="auto" w:fill="auto"/>
            <w:vAlign w:val="center"/>
          </w:tcPr>
          <w:p>
            <w:pPr>
              <w:jc w:val="center"/>
              <w:rPr>
                <w:szCs w:val="21"/>
                <w:highlight w:val="cyan"/>
              </w:rPr>
            </w:pPr>
            <w:r>
              <w:rPr>
                <w:szCs w:val="21"/>
              </w:rPr>
              <w:t>√</w:t>
            </w:r>
          </w:p>
        </w:tc>
        <w:tc>
          <w:tcPr>
            <w:tcW w:w="826" w:type="pct"/>
            <w:vMerge w:val="restart"/>
            <w:shd w:val="clear" w:color="auto" w:fill="auto"/>
            <w:vAlign w:val="center"/>
          </w:tcPr>
          <w:p>
            <w:pPr>
              <w:jc w:val="center"/>
              <w:rPr>
                <w:szCs w:val="21"/>
                <w:highlight w:val="cyan"/>
              </w:rPr>
            </w:pPr>
            <w:r>
              <w:rPr>
                <w:szCs w:val="21"/>
              </w:rPr>
              <w:t>×</w:t>
            </w:r>
          </w:p>
        </w:tc>
        <w:tc>
          <w:tcPr>
            <w:tcW w:w="942" w:type="pct"/>
            <w:shd w:val="clear" w:color="auto" w:fill="auto"/>
            <w:vAlign w:val="center"/>
          </w:tcPr>
          <w:p>
            <w:pPr>
              <w:jc w:val="center"/>
              <w:rPr>
                <w:szCs w:val="21"/>
              </w:rPr>
            </w:pPr>
            <w:r>
              <w:rPr>
                <w:szCs w:val="21"/>
              </w:rPr>
              <w:t>205~280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pct"/>
            <w:vMerge w:val="continue"/>
            <w:shd w:val="clear" w:color="auto" w:fill="auto"/>
            <w:vAlign w:val="center"/>
          </w:tcPr>
          <w:p>
            <w:pPr>
              <w:jc w:val="center"/>
              <w:rPr>
                <w:szCs w:val="21"/>
                <w:highlight w:val="lightGray"/>
              </w:rPr>
            </w:pPr>
          </w:p>
        </w:tc>
        <w:tc>
          <w:tcPr>
            <w:tcW w:w="918" w:type="pct"/>
            <w:vMerge w:val="continue"/>
            <w:shd w:val="clear" w:color="auto" w:fill="auto"/>
            <w:vAlign w:val="center"/>
          </w:tcPr>
          <w:p>
            <w:pPr>
              <w:jc w:val="center"/>
              <w:rPr>
                <w:szCs w:val="21"/>
                <w:highlight w:val="cyan"/>
              </w:rPr>
            </w:pPr>
          </w:p>
        </w:tc>
        <w:tc>
          <w:tcPr>
            <w:tcW w:w="1192" w:type="pct"/>
            <w:vMerge w:val="continue"/>
            <w:shd w:val="clear" w:color="auto" w:fill="auto"/>
            <w:vAlign w:val="center"/>
          </w:tcPr>
          <w:p>
            <w:pPr>
              <w:jc w:val="center"/>
              <w:rPr>
                <w:szCs w:val="21"/>
                <w:highlight w:val="cyan"/>
              </w:rPr>
            </w:pPr>
          </w:p>
        </w:tc>
        <w:tc>
          <w:tcPr>
            <w:tcW w:w="826" w:type="pct"/>
            <w:vMerge w:val="continue"/>
            <w:shd w:val="clear" w:color="auto" w:fill="auto"/>
            <w:vAlign w:val="center"/>
          </w:tcPr>
          <w:p>
            <w:pPr>
              <w:jc w:val="center"/>
              <w:rPr>
                <w:szCs w:val="21"/>
                <w:highlight w:val="cyan"/>
              </w:rPr>
            </w:pPr>
          </w:p>
        </w:tc>
        <w:tc>
          <w:tcPr>
            <w:tcW w:w="942" w:type="pct"/>
            <w:shd w:val="clear" w:color="auto" w:fill="auto"/>
            <w:vAlign w:val="center"/>
          </w:tcPr>
          <w:p>
            <w:pPr>
              <w:jc w:val="center"/>
              <w:rPr>
                <w:szCs w:val="21"/>
              </w:rPr>
            </w:pPr>
            <w:r>
              <w:rPr>
                <w:szCs w:val="21"/>
              </w:rPr>
              <w:t>281~350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pct"/>
            <w:vMerge w:val="continue"/>
            <w:shd w:val="clear" w:color="auto" w:fill="auto"/>
            <w:vAlign w:val="center"/>
          </w:tcPr>
          <w:p>
            <w:pPr>
              <w:jc w:val="center"/>
              <w:rPr>
                <w:szCs w:val="21"/>
                <w:highlight w:val="lightGray"/>
              </w:rPr>
            </w:pPr>
          </w:p>
        </w:tc>
        <w:tc>
          <w:tcPr>
            <w:tcW w:w="918" w:type="pct"/>
            <w:vMerge w:val="restart"/>
            <w:shd w:val="clear" w:color="auto" w:fill="auto"/>
            <w:vAlign w:val="center"/>
          </w:tcPr>
          <w:p>
            <w:pPr>
              <w:jc w:val="center"/>
              <w:rPr>
                <w:szCs w:val="21"/>
                <w:highlight w:val="cyan"/>
              </w:rPr>
            </w:pPr>
            <w:r>
              <w:rPr>
                <w:szCs w:val="21"/>
              </w:rPr>
              <w:t>铸件</w:t>
            </w:r>
          </w:p>
        </w:tc>
        <w:tc>
          <w:tcPr>
            <w:tcW w:w="1192" w:type="pct"/>
            <w:vMerge w:val="restart"/>
            <w:shd w:val="clear" w:color="auto" w:fill="auto"/>
            <w:vAlign w:val="center"/>
          </w:tcPr>
          <w:p>
            <w:pPr>
              <w:jc w:val="center"/>
              <w:rPr>
                <w:szCs w:val="21"/>
                <w:highlight w:val="cyan"/>
              </w:rPr>
            </w:pPr>
            <w:r>
              <w:rPr>
                <w:szCs w:val="21"/>
              </w:rPr>
              <w:t>√</w:t>
            </w:r>
          </w:p>
        </w:tc>
        <w:tc>
          <w:tcPr>
            <w:tcW w:w="826" w:type="pct"/>
            <w:vMerge w:val="restart"/>
            <w:shd w:val="clear" w:color="auto" w:fill="auto"/>
            <w:vAlign w:val="center"/>
          </w:tcPr>
          <w:p>
            <w:pPr>
              <w:jc w:val="center"/>
              <w:rPr>
                <w:szCs w:val="21"/>
                <w:highlight w:val="cyan"/>
              </w:rPr>
            </w:pPr>
            <w:r>
              <w:rPr>
                <w:szCs w:val="21"/>
              </w:rPr>
              <w:t>×</w:t>
            </w:r>
          </w:p>
        </w:tc>
        <w:tc>
          <w:tcPr>
            <w:tcW w:w="942" w:type="pct"/>
            <w:shd w:val="clear" w:color="auto" w:fill="auto"/>
            <w:vAlign w:val="center"/>
          </w:tcPr>
          <w:p>
            <w:pPr>
              <w:jc w:val="center"/>
              <w:rPr>
                <w:szCs w:val="21"/>
              </w:rPr>
            </w:pPr>
            <w:r>
              <w:rPr>
                <w:szCs w:val="21"/>
              </w:rPr>
              <w:t>205~280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pct"/>
            <w:vMerge w:val="continue"/>
            <w:shd w:val="clear" w:color="auto" w:fill="auto"/>
            <w:vAlign w:val="center"/>
          </w:tcPr>
          <w:p>
            <w:pPr>
              <w:jc w:val="center"/>
              <w:rPr>
                <w:szCs w:val="21"/>
                <w:highlight w:val="lightGray"/>
              </w:rPr>
            </w:pPr>
          </w:p>
        </w:tc>
        <w:tc>
          <w:tcPr>
            <w:tcW w:w="918" w:type="pct"/>
            <w:vMerge w:val="continue"/>
            <w:shd w:val="clear" w:color="auto" w:fill="auto"/>
            <w:vAlign w:val="center"/>
          </w:tcPr>
          <w:p>
            <w:pPr>
              <w:jc w:val="center"/>
              <w:rPr>
                <w:szCs w:val="21"/>
                <w:highlight w:val="cyan"/>
              </w:rPr>
            </w:pPr>
          </w:p>
        </w:tc>
        <w:tc>
          <w:tcPr>
            <w:tcW w:w="1192" w:type="pct"/>
            <w:vMerge w:val="continue"/>
            <w:shd w:val="clear" w:color="auto" w:fill="auto"/>
            <w:vAlign w:val="center"/>
          </w:tcPr>
          <w:p>
            <w:pPr>
              <w:jc w:val="center"/>
              <w:rPr>
                <w:szCs w:val="21"/>
                <w:highlight w:val="cyan"/>
              </w:rPr>
            </w:pPr>
          </w:p>
        </w:tc>
        <w:tc>
          <w:tcPr>
            <w:tcW w:w="826" w:type="pct"/>
            <w:vMerge w:val="continue"/>
            <w:shd w:val="clear" w:color="auto" w:fill="auto"/>
            <w:vAlign w:val="center"/>
          </w:tcPr>
          <w:p>
            <w:pPr>
              <w:jc w:val="center"/>
              <w:rPr>
                <w:szCs w:val="21"/>
                <w:highlight w:val="cyan"/>
              </w:rPr>
            </w:pPr>
          </w:p>
        </w:tc>
        <w:tc>
          <w:tcPr>
            <w:tcW w:w="942" w:type="pct"/>
            <w:shd w:val="clear" w:color="auto" w:fill="auto"/>
            <w:vAlign w:val="center"/>
          </w:tcPr>
          <w:p>
            <w:pPr>
              <w:jc w:val="center"/>
              <w:rPr>
                <w:szCs w:val="21"/>
              </w:rPr>
            </w:pPr>
            <w:r>
              <w:rPr>
                <w:szCs w:val="21"/>
              </w:rPr>
              <w:t>281~350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pct"/>
            <w:vMerge w:val="restart"/>
            <w:shd w:val="clear" w:color="auto" w:fill="auto"/>
            <w:vAlign w:val="center"/>
          </w:tcPr>
          <w:p>
            <w:pPr>
              <w:jc w:val="center"/>
              <w:rPr>
                <w:szCs w:val="21"/>
                <w:highlight w:val="lightGray"/>
              </w:rPr>
            </w:pPr>
            <w:r>
              <w:rPr>
                <w:szCs w:val="21"/>
              </w:rPr>
              <w:t>奥氏体不锈钢</w:t>
            </w:r>
          </w:p>
        </w:tc>
        <w:tc>
          <w:tcPr>
            <w:tcW w:w="918" w:type="pct"/>
            <w:shd w:val="clear" w:color="auto" w:fill="auto"/>
            <w:vAlign w:val="center"/>
          </w:tcPr>
          <w:p>
            <w:pPr>
              <w:jc w:val="center"/>
              <w:rPr>
                <w:szCs w:val="21"/>
                <w:highlight w:val="cyan"/>
              </w:rPr>
            </w:pPr>
            <w:r>
              <w:rPr>
                <w:szCs w:val="21"/>
              </w:rPr>
              <w:t>锻件</w:t>
            </w:r>
          </w:p>
        </w:tc>
        <w:tc>
          <w:tcPr>
            <w:tcW w:w="1192" w:type="pct"/>
            <w:shd w:val="clear" w:color="auto" w:fill="auto"/>
            <w:vAlign w:val="center"/>
          </w:tcPr>
          <w:p>
            <w:pPr>
              <w:jc w:val="center"/>
              <w:rPr>
                <w:szCs w:val="21"/>
                <w:highlight w:val="cyan"/>
              </w:rPr>
            </w:pPr>
            <w:r>
              <w:rPr>
                <w:szCs w:val="21"/>
              </w:rPr>
              <w:t>√</w:t>
            </w:r>
          </w:p>
        </w:tc>
        <w:tc>
          <w:tcPr>
            <w:tcW w:w="826" w:type="pct"/>
            <w:shd w:val="clear" w:color="auto" w:fill="auto"/>
            <w:vAlign w:val="center"/>
          </w:tcPr>
          <w:p>
            <w:pPr>
              <w:jc w:val="center"/>
              <w:rPr>
                <w:szCs w:val="21"/>
                <w:highlight w:val="cyan"/>
              </w:rPr>
            </w:pPr>
            <w:r>
              <w:rPr>
                <w:szCs w:val="21"/>
              </w:rPr>
              <w:t>√</w:t>
            </w:r>
          </w:p>
        </w:tc>
        <w:tc>
          <w:tcPr>
            <w:tcW w:w="942" w:type="pct"/>
            <w:shd w:val="clear" w:color="auto" w:fill="auto"/>
            <w:vAlign w:val="center"/>
          </w:tcPr>
          <w:p>
            <w:pPr>
              <w:jc w:val="center"/>
              <w:rPr>
                <w:szCs w:val="21"/>
              </w:rPr>
            </w:pPr>
            <w:r>
              <w:rPr>
                <w:szCs w:val="21"/>
              </w:rPr>
              <w:t>281~500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1" w:type="pct"/>
            <w:vMerge w:val="continue"/>
            <w:shd w:val="clear" w:color="auto" w:fill="auto"/>
            <w:vAlign w:val="center"/>
          </w:tcPr>
          <w:p>
            <w:pPr>
              <w:jc w:val="center"/>
              <w:rPr>
                <w:szCs w:val="21"/>
                <w:highlight w:val="cyan"/>
              </w:rPr>
            </w:pPr>
          </w:p>
        </w:tc>
        <w:tc>
          <w:tcPr>
            <w:tcW w:w="918" w:type="pct"/>
            <w:shd w:val="clear" w:color="auto" w:fill="auto"/>
            <w:vAlign w:val="center"/>
          </w:tcPr>
          <w:p>
            <w:pPr>
              <w:jc w:val="center"/>
              <w:rPr>
                <w:szCs w:val="21"/>
                <w:highlight w:val="cyan"/>
              </w:rPr>
            </w:pPr>
            <w:r>
              <w:rPr>
                <w:szCs w:val="21"/>
              </w:rPr>
              <w:t>铸件</w:t>
            </w:r>
          </w:p>
        </w:tc>
        <w:tc>
          <w:tcPr>
            <w:tcW w:w="1192" w:type="pct"/>
            <w:shd w:val="clear" w:color="auto" w:fill="auto"/>
            <w:vAlign w:val="center"/>
          </w:tcPr>
          <w:p>
            <w:pPr>
              <w:jc w:val="center"/>
              <w:rPr>
                <w:szCs w:val="21"/>
                <w:highlight w:val="cyan"/>
              </w:rPr>
            </w:pPr>
            <w:r>
              <w:rPr>
                <w:szCs w:val="21"/>
              </w:rPr>
              <w:t>√</w:t>
            </w:r>
          </w:p>
        </w:tc>
        <w:tc>
          <w:tcPr>
            <w:tcW w:w="826" w:type="pct"/>
            <w:shd w:val="clear" w:color="auto" w:fill="auto"/>
            <w:vAlign w:val="center"/>
          </w:tcPr>
          <w:p>
            <w:pPr>
              <w:jc w:val="center"/>
              <w:rPr>
                <w:szCs w:val="21"/>
                <w:highlight w:val="cyan"/>
              </w:rPr>
            </w:pPr>
            <w:r>
              <w:rPr>
                <w:szCs w:val="21"/>
              </w:rPr>
              <w:t>×</w:t>
            </w:r>
          </w:p>
        </w:tc>
        <w:tc>
          <w:tcPr>
            <w:tcW w:w="942" w:type="pct"/>
            <w:shd w:val="clear" w:color="auto" w:fill="auto"/>
            <w:vAlign w:val="center"/>
          </w:tcPr>
          <w:p>
            <w:pPr>
              <w:jc w:val="center"/>
              <w:rPr>
                <w:szCs w:val="21"/>
              </w:rPr>
            </w:pPr>
            <w:r>
              <w:rPr>
                <w:szCs w:val="21"/>
              </w:rPr>
              <w:t>281~500</w:t>
            </w:r>
          </w:p>
        </w:tc>
      </w:tr>
    </w:tbl>
    <w:p>
      <w:pPr>
        <w:spacing w:line="360" w:lineRule="auto"/>
        <w:rPr>
          <w:szCs w:val="21"/>
        </w:rPr>
      </w:pPr>
      <w:r>
        <w:rPr>
          <w:szCs w:val="21"/>
        </w:rPr>
        <w:t>注：1 “√”表示允许采用，“×”表示不允许采用。</w:t>
      </w:r>
    </w:p>
    <w:p>
      <w:pPr>
        <w:spacing w:line="360" w:lineRule="auto"/>
        <w:ind w:firstLine="420"/>
        <w:rPr>
          <w:szCs w:val="21"/>
        </w:rPr>
      </w:pPr>
      <w:r>
        <w:rPr>
          <w:szCs w:val="21"/>
        </w:rPr>
        <w:t>2 碳钢中S</w:t>
      </w:r>
      <w:r>
        <w:rPr>
          <w:rFonts w:hint="eastAsia"/>
          <w:szCs w:val="21"/>
        </w:rPr>
        <w:t>、</w:t>
      </w:r>
      <w:r>
        <w:rPr>
          <w:szCs w:val="21"/>
        </w:rPr>
        <w:t>P含量分别不大于0.02%。</w:t>
      </w:r>
    </w:p>
    <w:p>
      <w:pPr>
        <w:spacing w:line="360" w:lineRule="auto"/>
        <w:ind w:firstLine="420"/>
        <w:rPr>
          <w:szCs w:val="21"/>
        </w:rPr>
      </w:pPr>
      <w:r>
        <w:rPr>
          <w:szCs w:val="21"/>
        </w:rPr>
        <w:t>3 铬钼合金钢中碳含量不大于0.16%，S、P含量分别不大于0.02%。</w:t>
      </w:r>
    </w:p>
    <w:p>
      <w:pPr>
        <w:spacing w:line="360" w:lineRule="auto"/>
        <w:ind w:firstLine="420"/>
        <w:rPr>
          <w:szCs w:val="21"/>
        </w:rPr>
      </w:pPr>
      <w:r>
        <w:rPr>
          <w:szCs w:val="21"/>
        </w:rPr>
        <w:t>4 奥氏体不锈钢中碳含量不小于0.04%。</w:t>
      </w:r>
    </w:p>
    <w:p>
      <w:pPr>
        <w:spacing w:line="360" w:lineRule="auto"/>
        <w:ind w:firstLine="420"/>
        <w:rPr>
          <w:szCs w:val="21"/>
        </w:rPr>
      </w:pPr>
      <w:r>
        <w:rPr>
          <w:szCs w:val="21"/>
        </w:rPr>
        <w:t>5 阀杆不允许采用马氏体不锈钢。</w:t>
      </w:r>
    </w:p>
    <w:p>
      <w:pPr>
        <w:spacing w:line="360" w:lineRule="auto"/>
        <w:ind w:firstLine="420"/>
        <w:rPr>
          <w:szCs w:val="21"/>
        </w:rPr>
      </w:pPr>
      <w:r>
        <w:rPr>
          <w:szCs w:val="21"/>
        </w:rPr>
        <w:t>6 阀门密封填料：当氢气温度不高于200℃时，可采用聚四氟乙烯；超过</w:t>
      </w:r>
      <w:r>
        <w:rPr>
          <w:rFonts w:hint="eastAsia"/>
          <w:szCs w:val="21"/>
        </w:rPr>
        <w:t>200℃</w:t>
      </w:r>
      <w:r>
        <w:rPr>
          <w:szCs w:val="21"/>
        </w:rPr>
        <w:t>应采用柔性石墨或柔性石墨编织填料。</w:t>
      </w:r>
    </w:p>
    <w:p>
      <w:pPr>
        <w:spacing w:line="360" w:lineRule="auto"/>
        <w:ind w:firstLine="420"/>
        <w:rPr>
          <w:szCs w:val="21"/>
        </w:rPr>
      </w:pPr>
      <w:r>
        <w:rPr>
          <w:szCs w:val="21"/>
        </w:rPr>
        <w:t>7 阀门密封面材料应为钴基合金。</w:t>
      </w:r>
    </w:p>
    <w:p>
      <w:pPr>
        <w:spacing w:line="360" w:lineRule="auto"/>
        <w:ind w:firstLine="420"/>
        <w:rPr>
          <w:sz w:val="24"/>
          <w:szCs w:val="21"/>
        </w:rPr>
      </w:pPr>
      <w:r>
        <w:rPr>
          <w:sz w:val="24"/>
          <w:szCs w:val="21"/>
        </w:rPr>
        <w:t>3 用于设计压力大于或等于20MPa氢气管道上的阀门，应具有下列试验项目的认证文件：</w:t>
      </w:r>
    </w:p>
    <w:p>
      <w:pPr>
        <w:spacing w:line="360" w:lineRule="auto"/>
        <w:ind w:left="420" w:firstLine="420"/>
        <w:rPr>
          <w:sz w:val="24"/>
          <w:szCs w:val="21"/>
        </w:rPr>
      </w:pPr>
      <w:r>
        <w:rPr>
          <w:sz w:val="24"/>
          <w:szCs w:val="21"/>
        </w:rPr>
        <w:t>1）氢气压力循环试验，在额定设计压力条件下使用氢气进行不低于102000次的压力循环后，阀门不损坏、不泄漏。允许每循环16000次后更换阀门密封组件。</w:t>
      </w:r>
    </w:p>
    <w:p>
      <w:pPr>
        <w:spacing w:line="360" w:lineRule="auto"/>
        <w:ind w:left="420" w:firstLine="420"/>
        <w:rPr>
          <w:sz w:val="24"/>
          <w:szCs w:val="21"/>
        </w:rPr>
      </w:pPr>
      <w:r>
        <w:rPr>
          <w:sz w:val="24"/>
          <w:szCs w:val="21"/>
        </w:rPr>
        <w:t>2）泄漏率试验，在额定压力条件下使用氢气进行泄漏率试验，泄漏率应低于10cm</w:t>
      </w:r>
      <w:r>
        <w:rPr>
          <w:sz w:val="24"/>
          <w:szCs w:val="21"/>
          <w:vertAlign w:val="superscript"/>
        </w:rPr>
        <w:t>3</w:t>
      </w:r>
      <w:r>
        <w:rPr>
          <w:sz w:val="24"/>
          <w:szCs w:val="21"/>
        </w:rPr>
        <w:t>/h（标准状态下）。</w:t>
      </w:r>
    </w:p>
    <w:p>
      <w:pPr>
        <w:spacing w:line="360" w:lineRule="auto"/>
        <w:rPr>
          <w:sz w:val="24"/>
          <w:szCs w:val="28"/>
        </w:rPr>
      </w:pPr>
      <w:r>
        <w:rPr>
          <w:sz w:val="24"/>
          <w:szCs w:val="28"/>
        </w:rPr>
        <w:t>1</w:t>
      </w:r>
      <w:r>
        <w:rPr>
          <w:rFonts w:hint="eastAsia"/>
          <w:sz w:val="24"/>
          <w:szCs w:val="28"/>
        </w:rPr>
        <w:t>2</w:t>
      </w:r>
      <w:r>
        <w:rPr>
          <w:sz w:val="24"/>
          <w:szCs w:val="28"/>
        </w:rPr>
        <w:t>.2.4  氢气管道法兰、垫片的选择，</w:t>
      </w:r>
      <w:r>
        <w:rPr>
          <w:rFonts w:hint="eastAsia"/>
          <w:sz w:val="24"/>
          <w:szCs w:val="28"/>
        </w:rPr>
        <w:t>应</w:t>
      </w:r>
      <w:r>
        <w:rPr>
          <w:sz w:val="24"/>
          <w:szCs w:val="28"/>
        </w:rPr>
        <w:t>符合下列</w:t>
      </w:r>
      <w:r>
        <w:rPr>
          <w:rFonts w:hint="eastAsia"/>
          <w:sz w:val="24"/>
          <w:szCs w:val="28"/>
        </w:rPr>
        <w:t>要求</w:t>
      </w:r>
      <w:r>
        <w:rPr>
          <w:sz w:val="24"/>
          <w:szCs w:val="28"/>
        </w:rPr>
        <w:t>：</w:t>
      </w:r>
    </w:p>
    <w:p>
      <w:pPr>
        <w:spacing w:line="360" w:lineRule="auto"/>
        <w:ind w:firstLine="420"/>
        <w:rPr>
          <w:sz w:val="24"/>
          <w:szCs w:val="28"/>
        </w:rPr>
      </w:pPr>
      <w:r>
        <w:rPr>
          <w:sz w:val="24"/>
          <w:szCs w:val="28"/>
        </w:rPr>
        <w:t>1 法兰、垫片用材料，</w:t>
      </w:r>
      <w:r>
        <w:rPr>
          <w:rFonts w:hint="eastAsia"/>
          <w:sz w:val="24"/>
          <w:szCs w:val="28"/>
        </w:rPr>
        <w:t>应</w:t>
      </w:r>
      <w:r>
        <w:rPr>
          <w:sz w:val="24"/>
          <w:szCs w:val="28"/>
        </w:rPr>
        <w:t>与氢气具有良好的相容性</w:t>
      </w:r>
      <w:r>
        <w:rPr>
          <w:rFonts w:hint="eastAsia"/>
          <w:sz w:val="24"/>
          <w:szCs w:val="28"/>
        </w:rPr>
        <w:t>；</w:t>
      </w:r>
    </w:p>
    <w:p>
      <w:pPr>
        <w:spacing w:line="360" w:lineRule="auto"/>
        <w:ind w:firstLine="420"/>
        <w:rPr>
          <w:sz w:val="24"/>
          <w:szCs w:val="28"/>
        </w:rPr>
      </w:pPr>
      <w:r>
        <w:rPr>
          <w:sz w:val="24"/>
          <w:szCs w:val="28"/>
        </w:rPr>
        <w:t>2 法兰的压力</w:t>
      </w:r>
      <w:r>
        <w:rPr>
          <w:rFonts w:hint="eastAsia"/>
          <w:sz w:val="24"/>
          <w:szCs w:val="28"/>
        </w:rPr>
        <w:t>、</w:t>
      </w:r>
      <w:r>
        <w:rPr>
          <w:sz w:val="24"/>
          <w:szCs w:val="28"/>
        </w:rPr>
        <w:t>温度额定值应满足设计条件的要求</w:t>
      </w:r>
      <w:r>
        <w:rPr>
          <w:rFonts w:hint="eastAsia"/>
          <w:sz w:val="24"/>
          <w:szCs w:val="28"/>
        </w:rPr>
        <w:t>；</w:t>
      </w:r>
    </w:p>
    <w:p>
      <w:pPr>
        <w:spacing w:line="360" w:lineRule="auto"/>
        <w:ind w:firstLine="420"/>
        <w:rPr>
          <w:sz w:val="24"/>
          <w:szCs w:val="28"/>
        </w:rPr>
      </w:pPr>
      <w:r>
        <w:rPr>
          <w:sz w:val="24"/>
          <w:szCs w:val="28"/>
        </w:rPr>
        <w:t>3 法兰、垫片的型式，宜符合表1</w:t>
      </w:r>
      <w:r>
        <w:rPr>
          <w:rFonts w:hint="eastAsia"/>
          <w:sz w:val="24"/>
          <w:szCs w:val="28"/>
        </w:rPr>
        <w:t>3</w:t>
      </w:r>
      <w:r>
        <w:rPr>
          <w:sz w:val="24"/>
          <w:szCs w:val="28"/>
        </w:rPr>
        <w:t>.2.4的规定</w:t>
      </w:r>
      <w:r>
        <w:rPr>
          <w:rFonts w:hint="eastAsia"/>
          <w:sz w:val="24"/>
          <w:szCs w:val="28"/>
        </w:rPr>
        <w:t>。</w:t>
      </w:r>
    </w:p>
    <w:p>
      <w:pPr>
        <w:jc w:val="center"/>
        <w:rPr>
          <w:szCs w:val="21"/>
        </w:rPr>
      </w:pPr>
      <w:r>
        <w:rPr>
          <w:szCs w:val="21"/>
        </w:rPr>
        <w:t>表1</w:t>
      </w:r>
      <w:r>
        <w:rPr>
          <w:rFonts w:hint="eastAsia"/>
          <w:szCs w:val="21"/>
        </w:rPr>
        <w:t>3</w:t>
      </w:r>
      <w:r>
        <w:rPr>
          <w:szCs w:val="21"/>
        </w:rPr>
        <w:t>.2.4 氢气管道法兰、垫片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2083"/>
        <w:gridCol w:w="4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szCs w:val="21"/>
                <w:highlight w:val="cyan"/>
              </w:rPr>
            </w:pPr>
            <w:r>
              <w:rPr>
                <w:szCs w:val="21"/>
              </w:rPr>
              <w:t>设计压力（MPa）</w:t>
            </w:r>
          </w:p>
        </w:tc>
        <w:tc>
          <w:tcPr>
            <w:tcW w:w="0" w:type="auto"/>
            <w:shd w:val="clear" w:color="auto" w:fill="auto"/>
            <w:vAlign w:val="center"/>
          </w:tcPr>
          <w:p>
            <w:pPr>
              <w:jc w:val="center"/>
              <w:rPr>
                <w:szCs w:val="21"/>
                <w:highlight w:val="cyan"/>
              </w:rPr>
            </w:pPr>
            <w:r>
              <w:rPr>
                <w:szCs w:val="21"/>
              </w:rPr>
              <w:t>法兰密封面型式</w:t>
            </w:r>
          </w:p>
        </w:tc>
        <w:tc>
          <w:tcPr>
            <w:tcW w:w="0" w:type="auto"/>
            <w:shd w:val="clear" w:color="auto" w:fill="auto"/>
            <w:vAlign w:val="center"/>
          </w:tcPr>
          <w:p>
            <w:pPr>
              <w:jc w:val="center"/>
              <w:rPr>
                <w:szCs w:val="21"/>
              </w:rPr>
            </w:pPr>
            <w:r>
              <w:rPr>
                <w:szCs w:val="21"/>
              </w:rPr>
              <w:t>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szCs w:val="21"/>
                <w:highlight w:val="cyan"/>
              </w:rPr>
            </w:pPr>
            <w:r>
              <w:rPr>
                <w:rFonts w:hint="eastAsia"/>
                <w:szCs w:val="21"/>
              </w:rPr>
              <w:t>＜</w:t>
            </w:r>
            <w:r>
              <w:rPr>
                <w:szCs w:val="21"/>
              </w:rPr>
              <w:t>2.5</w:t>
            </w:r>
          </w:p>
        </w:tc>
        <w:tc>
          <w:tcPr>
            <w:tcW w:w="0" w:type="auto"/>
            <w:shd w:val="clear" w:color="auto" w:fill="auto"/>
            <w:vAlign w:val="center"/>
          </w:tcPr>
          <w:p>
            <w:pPr>
              <w:jc w:val="left"/>
              <w:rPr>
                <w:szCs w:val="21"/>
                <w:highlight w:val="cyan"/>
              </w:rPr>
            </w:pPr>
            <w:r>
              <w:rPr>
                <w:rFonts w:hint="eastAsia"/>
                <w:szCs w:val="21"/>
              </w:rPr>
              <w:t>突面式</w:t>
            </w:r>
          </w:p>
        </w:tc>
        <w:tc>
          <w:tcPr>
            <w:tcW w:w="0" w:type="auto"/>
            <w:shd w:val="clear" w:color="auto" w:fill="auto"/>
            <w:vAlign w:val="center"/>
          </w:tcPr>
          <w:p>
            <w:pPr>
              <w:jc w:val="left"/>
              <w:rPr>
                <w:szCs w:val="21"/>
              </w:rPr>
            </w:pPr>
            <w:r>
              <w:rPr>
                <w:rFonts w:hint="eastAsia"/>
                <w:szCs w:val="21"/>
              </w:rPr>
              <w:t>聚四氟乙烯包覆垫片、缠绕式垫片、金属环垫、柔性石墨复合垫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szCs w:val="21"/>
                <w:highlight w:val="cyan"/>
              </w:rPr>
            </w:pPr>
            <w:r>
              <w:rPr>
                <w:szCs w:val="21"/>
              </w:rPr>
              <w:t>2.5~10.0</w:t>
            </w:r>
          </w:p>
        </w:tc>
        <w:tc>
          <w:tcPr>
            <w:tcW w:w="0" w:type="auto"/>
            <w:shd w:val="clear" w:color="auto" w:fill="auto"/>
            <w:vAlign w:val="center"/>
          </w:tcPr>
          <w:p>
            <w:pPr>
              <w:jc w:val="left"/>
              <w:rPr>
                <w:szCs w:val="21"/>
                <w:highlight w:val="cyan"/>
              </w:rPr>
            </w:pPr>
            <w:r>
              <w:rPr>
                <w:rFonts w:hint="eastAsia"/>
                <w:szCs w:val="21"/>
              </w:rPr>
              <w:t>凹凸式、榫槽式</w:t>
            </w:r>
          </w:p>
        </w:tc>
        <w:tc>
          <w:tcPr>
            <w:tcW w:w="0" w:type="auto"/>
            <w:shd w:val="clear" w:color="auto" w:fill="auto"/>
            <w:vAlign w:val="center"/>
          </w:tcPr>
          <w:p>
            <w:pPr>
              <w:jc w:val="left"/>
              <w:rPr>
                <w:szCs w:val="21"/>
              </w:rPr>
            </w:pPr>
            <w:r>
              <w:rPr>
                <w:rFonts w:hint="eastAsia"/>
                <w:szCs w:val="21"/>
              </w:rPr>
              <w:t>缠绕式垫片、金属环垫、柔性石墨复合垫、齿形组合垫、金属包覆垫片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jc w:val="center"/>
              <w:rPr>
                <w:szCs w:val="21"/>
                <w:highlight w:val="cyan"/>
              </w:rPr>
            </w:pPr>
            <w:r>
              <w:rPr>
                <w:rFonts w:hint="eastAsia"/>
                <w:szCs w:val="21"/>
              </w:rPr>
              <w:t>＞</w:t>
            </w:r>
            <w:r>
              <w:rPr>
                <w:szCs w:val="21"/>
              </w:rPr>
              <w:t>10</w:t>
            </w:r>
          </w:p>
        </w:tc>
        <w:tc>
          <w:tcPr>
            <w:tcW w:w="0" w:type="auto"/>
            <w:shd w:val="clear" w:color="auto" w:fill="auto"/>
            <w:vAlign w:val="center"/>
          </w:tcPr>
          <w:p>
            <w:pPr>
              <w:jc w:val="left"/>
              <w:rPr>
                <w:szCs w:val="21"/>
                <w:highlight w:val="cyan"/>
              </w:rPr>
            </w:pPr>
            <w:r>
              <w:rPr>
                <w:rFonts w:hint="eastAsia"/>
                <w:szCs w:val="21"/>
              </w:rPr>
              <w:t>凹凸式、榫槽式、环连接式</w:t>
            </w:r>
          </w:p>
        </w:tc>
        <w:tc>
          <w:tcPr>
            <w:tcW w:w="0" w:type="auto"/>
            <w:shd w:val="clear" w:color="auto" w:fill="auto"/>
            <w:vAlign w:val="center"/>
          </w:tcPr>
          <w:p>
            <w:pPr>
              <w:jc w:val="left"/>
              <w:rPr>
                <w:szCs w:val="21"/>
              </w:rPr>
            </w:pPr>
            <w:r>
              <w:rPr>
                <w:rFonts w:hint="eastAsia"/>
                <w:szCs w:val="21"/>
              </w:rPr>
              <w:t>缠绕式垫片、金属环垫、齿形组合垫</w:t>
            </w:r>
          </w:p>
        </w:tc>
      </w:tr>
    </w:tbl>
    <w:p>
      <w:pPr>
        <w:spacing w:line="360" w:lineRule="auto"/>
        <w:rPr>
          <w:sz w:val="28"/>
          <w:szCs w:val="28"/>
        </w:rPr>
      </w:pPr>
    </w:p>
    <w:p>
      <w:pPr>
        <w:spacing w:line="360" w:lineRule="auto"/>
        <w:rPr>
          <w:sz w:val="24"/>
          <w:szCs w:val="28"/>
        </w:rPr>
      </w:pPr>
      <w:r>
        <w:rPr>
          <w:sz w:val="24"/>
          <w:szCs w:val="28"/>
        </w:rPr>
        <w:t>1</w:t>
      </w:r>
      <w:r>
        <w:rPr>
          <w:rFonts w:hint="eastAsia"/>
          <w:sz w:val="24"/>
          <w:szCs w:val="28"/>
        </w:rPr>
        <w:t>2</w:t>
      </w:r>
      <w:r>
        <w:rPr>
          <w:sz w:val="24"/>
          <w:szCs w:val="28"/>
        </w:rPr>
        <w:t>.2.5  氢气管道的连接宜采用经氢相容性评定合格的焊接接头或卡套接头；氢气管道与设备、阀门的连接，可采用法兰或螺纹连接等。</w:t>
      </w:r>
    </w:p>
    <w:p>
      <w:pPr>
        <w:spacing w:line="360" w:lineRule="auto"/>
        <w:rPr>
          <w:sz w:val="24"/>
          <w:szCs w:val="28"/>
        </w:rPr>
      </w:pPr>
      <w:r>
        <w:rPr>
          <w:sz w:val="24"/>
          <w:szCs w:val="28"/>
        </w:rPr>
        <w:t>1</w:t>
      </w:r>
      <w:r>
        <w:rPr>
          <w:rFonts w:hint="eastAsia"/>
          <w:sz w:val="24"/>
          <w:szCs w:val="28"/>
        </w:rPr>
        <w:t>2</w:t>
      </w:r>
      <w:r>
        <w:rPr>
          <w:sz w:val="24"/>
          <w:szCs w:val="28"/>
        </w:rPr>
        <w:t>.2.6  设计压力低于</w:t>
      </w:r>
      <w:r>
        <w:rPr>
          <w:rFonts w:hint="eastAsia"/>
          <w:sz w:val="24"/>
          <w:szCs w:val="28"/>
        </w:rPr>
        <w:t>2</w:t>
      </w:r>
      <w:r>
        <w:rPr>
          <w:sz w:val="24"/>
          <w:szCs w:val="28"/>
        </w:rPr>
        <w:t>0MPa氢气管道的连接，宜采用</w:t>
      </w:r>
      <w:r>
        <w:rPr>
          <w:rFonts w:hint="eastAsia"/>
          <w:sz w:val="24"/>
          <w:szCs w:val="28"/>
        </w:rPr>
        <w:t>焊接</w:t>
      </w:r>
      <w:r>
        <w:rPr>
          <w:sz w:val="24"/>
          <w:szCs w:val="28"/>
        </w:rPr>
        <w:t>，并应符合下列规定：</w:t>
      </w:r>
    </w:p>
    <w:p>
      <w:pPr>
        <w:spacing w:line="360" w:lineRule="auto"/>
        <w:ind w:firstLine="420"/>
        <w:rPr>
          <w:sz w:val="24"/>
          <w:szCs w:val="28"/>
        </w:rPr>
      </w:pPr>
      <w:r>
        <w:rPr>
          <w:sz w:val="24"/>
          <w:szCs w:val="28"/>
        </w:rPr>
        <w:t>1 焊材应与氢气具有良好的相容性；</w:t>
      </w:r>
    </w:p>
    <w:p>
      <w:pPr>
        <w:spacing w:line="360" w:lineRule="auto"/>
        <w:ind w:firstLine="420"/>
        <w:rPr>
          <w:sz w:val="24"/>
          <w:szCs w:val="28"/>
        </w:rPr>
      </w:pPr>
      <w:r>
        <w:rPr>
          <w:sz w:val="24"/>
          <w:szCs w:val="28"/>
        </w:rPr>
        <w:t>2 公称直径小于或等于DN40的氢气管道宜采用承插焊连接；</w:t>
      </w:r>
    </w:p>
    <w:p>
      <w:pPr>
        <w:spacing w:line="360" w:lineRule="auto"/>
        <w:ind w:firstLine="420"/>
        <w:rPr>
          <w:sz w:val="24"/>
          <w:szCs w:val="28"/>
        </w:rPr>
      </w:pPr>
      <w:r>
        <w:rPr>
          <w:sz w:val="24"/>
          <w:szCs w:val="28"/>
        </w:rPr>
        <w:t>3 公称直径小于或等于DN50的氢气管道宜采用对接焊连接。</w:t>
      </w:r>
    </w:p>
    <w:p>
      <w:pPr>
        <w:spacing w:line="360" w:lineRule="auto"/>
        <w:rPr>
          <w:sz w:val="24"/>
          <w:szCs w:val="28"/>
        </w:rPr>
      </w:pPr>
      <w:r>
        <w:rPr>
          <w:sz w:val="24"/>
          <w:szCs w:val="28"/>
        </w:rPr>
        <w:t>1</w:t>
      </w:r>
      <w:r>
        <w:rPr>
          <w:rFonts w:hint="eastAsia"/>
          <w:sz w:val="24"/>
          <w:szCs w:val="28"/>
        </w:rPr>
        <w:t>2</w:t>
      </w:r>
      <w:r>
        <w:rPr>
          <w:sz w:val="24"/>
          <w:szCs w:val="28"/>
        </w:rPr>
        <w:t>.2.7  采用螺纹连接时，应符合下列规定：</w:t>
      </w:r>
    </w:p>
    <w:p>
      <w:pPr>
        <w:spacing w:line="360" w:lineRule="auto"/>
        <w:ind w:firstLine="420"/>
        <w:rPr>
          <w:sz w:val="24"/>
          <w:szCs w:val="28"/>
        </w:rPr>
      </w:pPr>
      <w:r>
        <w:rPr>
          <w:sz w:val="24"/>
          <w:szCs w:val="28"/>
        </w:rPr>
        <w:t>1 内、外螺纹均应为锥管螺纹。严禁使用圆锥外螺纹与圆柱内螺纹的配合型式；</w:t>
      </w:r>
    </w:p>
    <w:p>
      <w:pPr>
        <w:spacing w:line="360" w:lineRule="auto"/>
        <w:ind w:firstLine="420"/>
        <w:rPr>
          <w:sz w:val="24"/>
          <w:szCs w:val="28"/>
        </w:rPr>
      </w:pPr>
      <w:r>
        <w:rPr>
          <w:sz w:val="24"/>
          <w:szCs w:val="28"/>
        </w:rPr>
        <w:t>2 锥管螺纹接头不宜用于设计温度高于200℃的工况；</w:t>
      </w:r>
    </w:p>
    <w:p>
      <w:pPr>
        <w:spacing w:line="360" w:lineRule="auto"/>
        <w:ind w:firstLine="420"/>
        <w:rPr>
          <w:sz w:val="24"/>
          <w:szCs w:val="28"/>
        </w:rPr>
      </w:pPr>
      <w:r>
        <w:rPr>
          <w:sz w:val="24"/>
          <w:szCs w:val="28"/>
        </w:rPr>
        <w:t>3 锥管螺纹接头不应用于设计压力高于48MPa的工况；</w:t>
      </w:r>
    </w:p>
    <w:p>
      <w:pPr>
        <w:spacing w:line="360" w:lineRule="auto"/>
        <w:ind w:firstLine="420"/>
        <w:rPr>
          <w:sz w:val="24"/>
          <w:szCs w:val="28"/>
        </w:rPr>
      </w:pPr>
      <w:r>
        <w:rPr>
          <w:sz w:val="24"/>
          <w:szCs w:val="28"/>
        </w:rPr>
        <w:t>4 螺纹连接处可使用密封剂或密封带，但不应采用密封焊；</w:t>
      </w:r>
    </w:p>
    <w:p>
      <w:pPr>
        <w:spacing w:line="360" w:lineRule="auto"/>
        <w:ind w:firstLine="420"/>
        <w:rPr>
          <w:sz w:val="24"/>
          <w:szCs w:val="28"/>
        </w:rPr>
      </w:pPr>
      <w:r>
        <w:rPr>
          <w:sz w:val="24"/>
          <w:szCs w:val="28"/>
        </w:rPr>
        <w:t>5 阳螺纹组件的最小壁厚不应小于sch160。对于公称直径小于DN15的阳螺纹组件，螺纹部分的最小壁厚应满足其受到的应力小于管道屈服应力50%的要求。</w:t>
      </w:r>
    </w:p>
    <w:p>
      <w:pPr>
        <w:spacing w:line="360" w:lineRule="auto"/>
        <w:rPr>
          <w:sz w:val="24"/>
          <w:szCs w:val="28"/>
        </w:rPr>
      </w:pPr>
      <w:r>
        <w:rPr>
          <w:sz w:val="24"/>
          <w:szCs w:val="28"/>
        </w:rPr>
        <w:t>1</w:t>
      </w:r>
      <w:r>
        <w:rPr>
          <w:rFonts w:hint="eastAsia"/>
          <w:sz w:val="24"/>
          <w:szCs w:val="28"/>
        </w:rPr>
        <w:t>2</w:t>
      </w:r>
      <w:r>
        <w:rPr>
          <w:sz w:val="24"/>
          <w:szCs w:val="28"/>
        </w:rPr>
        <w:t>.2.8  设计压力大于或等于</w:t>
      </w:r>
      <w:r>
        <w:rPr>
          <w:rFonts w:hint="eastAsia"/>
          <w:sz w:val="24"/>
          <w:szCs w:val="28"/>
        </w:rPr>
        <w:t>20</w:t>
      </w:r>
      <w:r>
        <w:rPr>
          <w:sz w:val="24"/>
          <w:szCs w:val="28"/>
        </w:rPr>
        <w:t>MPa、且外径小于或等于25.4mm的氢气管道</w:t>
      </w:r>
      <w:r>
        <w:rPr>
          <w:rFonts w:hint="eastAsia"/>
          <w:sz w:val="24"/>
          <w:szCs w:val="28"/>
        </w:rPr>
        <w:t>宜</w:t>
      </w:r>
      <w:r>
        <w:rPr>
          <w:sz w:val="24"/>
          <w:szCs w:val="28"/>
        </w:rPr>
        <w:t>采用焊接或卡套连接。</w:t>
      </w:r>
    </w:p>
    <w:p>
      <w:pPr>
        <w:spacing w:line="360" w:lineRule="auto"/>
        <w:rPr>
          <w:sz w:val="24"/>
          <w:szCs w:val="28"/>
        </w:rPr>
      </w:pPr>
      <w:r>
        <w:rPr>
          <w:sz w:val="24"/>
          <w:szCs w:val="28"/>
        </w:rPr>
        <w:t>1</w:t>
      </w:r>
      <w:r>
        <w:rPr>
          <w:rFonts w:hint="eastAsia"/>
          <w:sz w:val="24"/>
          <w:szCs w:val="28"/>
        </w:rPr>
        <w:t>2</w:t>
      </w:r>
      <w:r>
        <w:rPr>
          <w:sz w:val="24"/>
          <w:szCs w:val="28"/>
        </w:rPr>
        <w:t>.2.9  对氢气纯度有严格要求时，其</w:t>
      </w:r>
      <w:r>
        <w:rPr>
          <w:rFonts w:hint="eastAsia"/>
          <w:sz w:val="24"/>
          <w:szCs w:val="28"/>
        </w:rPr>
        <w:t>管道、阀门、附件材质和管道</w:t>
      </w:r>
      <w:r>
        <w:rPr>
          <w:sz w:val="24"/>
          <w:szCs w:val="28"/>
        </w:rPr>
        <w:t>的敷设，应按现行国家标准《洁净厂房设计规范》GB 50073中的有关规定执行。</w:t>
      </w:r>
    </w:p>
    <w:p>
      <w:pPr>
        <w:spacing w:line="360" w:lineRule="auto"/>
        <w:rPr>
          <w:sz w:val="24"/>
          <w:szCs w:val="28"/>
        </w:rPr>
      </w:pPr>
      <w:r>
        <w:rPr>
          <w:sz w:val="24"/>
          <w:szCs w:val="28"/>
        </w:rPr>
        <w:t>1</w:t>
      </w:r>
      <w:r>
        <w:rPr>
          <w:rFonts w:hint="eastAsia"/>
          <w:sz w:val="24"/>
          <w:szCs w:val="28"/>
        </w:rPr>
        <w:t>2</w:t>
      </w:r>
      <w:r>
        <w:rPr>
          <w:sz w:val="24"/>
          <w:szCs w:val="28"/>
        </w:rPr>
        <w:t>.2.10  水电解制氢系统氧气管道的流速、材质、阀门、附件和管道的敷设，应按现行国家标准《氧气站设计规范》GB50030中有关规定执行。</w:t>
      </w:r>
    </w:p>
    <w:p>
      <w:pPr>
        <w:spacing w:line="360" w:lineRule="auto"/>
        <w:rPr>
          <w:sz w:val="24"/>
          <w:szCs w:val="28"/>
        </w:rPr>
      </w:pPr>
      <w:r>
        <w:rPr>
          <w:sz w:val="24"/>
          <w:szCs w:val="28"/>
        </w:rPr>
        <w:t>1</w:t>
      </w:r>
      <w:r>
        <w:rPr>
          <w:rFonts w:hint="eastAsia"/>
          <w:sz w:val="24"/>
          <w:szCs w:val="28"/>
        </w:rPr>
        <w:t>2</w:t>
      </w:r>
      <w:r>
        <w:rPr>
          <w:sz w:val="24"/>
          <w:szCs w:val="28"/>
        </w:rPr>
        <w:t>.2.11  氢气管道穿过墙壁或楼板时应敷设在套管内，套管内的管段不应有焊缝。管道与套管间，应采用不燃材料填塞。</w:t>
      </w:r>
    </w:p>
    <w:p>
      <w:pPr>
        <w:spacing w:line="360" w:lineRule="auto"/>
        <w:rPr>
          <w:sz w:val="24"/>
          <w:szCs w:val="28"/>
        </w:rPr>
      </w:pPr>
      <w:r>
        <w:rPr>
          <w:sz w:val="24"/>
          <w:szCs w:val="28"/>
        </w:rPr>
        <w:t>1</w:t>
      </w:r>
      <w:r>
        <w:rPr>
          <w:rFonts w:hint="eastAsia"/>
          <w:sz w:val="24"/>
          <w:szCs w:val="28"/>
        </w:rPr>
        <w:t>2</w:t>
      </w:r>
      <w:r>
        <w:rPr>
          <w:sz w:val="24"/>
          <w:szCs w:val="28"/>
        </w:rPr>
        <w:t>.2.12  氢气管道与其它管道共架敷设或分层布置时，氢气管道宜布置在外侧并在上层。</w:t>
      </w:r>
    </w:p>
    <w:p>
      <w:pPr>
        <w:spacing w:line="360" w:lineRule="auto"/>
        <w:rPr>
          <w:sz w:val="24"/>
          <w:szCs w:val="28"/>
        </w:rPr>
      </w:pPr>
      <w:r>
        <w:rPr>
          <w:sz w:val="24"/>
          <w:szCs w:val="28"/>
        </w:rPr>
        <w:t>1</w:t>
      </w:r>
      <w:r>
        <w:rPr>
          <w:rFonts w:hint="eastAsia"/>
          <w:sz w:val="24"/>
          <w:szCs w:val="28"/>
        </w:rPr>
        <w:t>2</w:t>
      </w:r>
      <w:r>
        <w:rPr>
          <w:sz w:val="24"/>
          <w:szCs w:val="28"/>
        </w:rPr>
        <w:t>.2.13  输送湿氢或需做水压试验的管道应有不小于3‰的坡度，并应在管道最低点处设排水装置。</w:t>
      </w:r>
    </w:p>
    <w:p>
      <w:pPr>
        <w:pStyle w:val="8"/>
        <w:spacing w:line="360" w:lineRule="auto"/>
        <w:ind w:firstLine="0" w:firstLineChars="0"/>
        <w:jc w:val="center"/>
        <w:outlineLvl w:val="1"/>
        <w:rPr>
          <w:sz w:val="24"/>
          <w:szCs w:val="28"/>
        </w:rPr>
      </w:pPr>
      <w:bookmarkStart w:id="22" w:name="_Toc108940944"/>
      <w:r>
        <w:rPr>
          <w:sz w:val="24"/>
          <w:szCs w:val="28"/>
        </w:rPr>
        <w:t>1</w:t>
      </w:r>
      <w:r>
        <w:rPr>
          <w:rFonts w:hint="eastAsia"/>
          <w:sz w:val="24"/>
          <w:szCs w:val="28"/>
        </w:rPr>
        <w:t>2</w:t>
      </w:r>
      <w:r>
        <w:rPr>
          <w:sz w:val="24"/>
          <w:szCs w:val="28"/>
        </w:rPr>
        <w:t>.3 液氢、低温氢气管道及组成件</w:t>
      </w:r>
      <w:bookmarkEnd w:id="22"/>
    </w:p>
    <w:p>
      <w:pPr>
        <w:spacing w:line="360" w:lineRule="auto"/>
        <w:rPr>
          <w:sz w:val="24"/>
          <w:szCs w:val="28"/>
        </w:rPr>
      </w:pPr>
      <w:r>
        <w:rPr>
          <w:sz w:val="24"/>
          <w:szCs w:val="28"/>
        </w:rPr>
        <w:t>1</w:t>
      </w:r>
      <w:r>
        <w:rPr>
          <w:rFonts w:hint="eastAsia"/>
          <w:sz w:val="24"/>
          <w:szCs w:val="28"/>
        </w:rPr>
        <w:t>2</w:t>
      </w:r>
      <w:r>
        <w:rPr>
          <w:sz w:val="24"/>
          <w:szCs w:val="28"/>
        </w:rPr>
        <w:t>.3.1  液氢管道应采用高真空多层绝热管道，低温氢气管道可采用绝热效果良好的非真空绝热管道。</w:t>
      </w:r>
    </w:p>
    <w:p>
      <w:pPr>
        <w:spacing w:line="360" w:lineRule="auto"/>
        <w:rPr>
          <w:sz w:val="24"/>
          <w:szCs w:val="28"/>
        </w:rPr>
      </w:pPr>
      <w:r>
        <w:rPr>
          <w:sz w:val="24"/>
          <w:szCs w:val="28"/>
        </w:rPr>
        <w:t>1</w:t>
      </w:r>
      <w:r>
        <w:rPr>
          <w:rFonts w:hint="eastAsia"/>
          <w:sz w:val="24"/>
          <w:szCs w:val="28"/>
        </w:rPr>
        <w:t>2</w:t>
      </w:r>
      <w:r>
        <w:rPr>
          <w:sz w:val="24"/>
          <w:szCs w:val="28"/>
        </w:rPr>
        <w:t>.3.2  真空绝热管道或非真空绝热管道的设计压力应符合下列规定：</w:t>
      </w:r>
    </w:p>
    <w:p>
      <w:pPr>
        <w:spacing w:line="360" w:lineRule="auto"/>
        <w:ind w:firstLine="420"/>
        <w:rPr>
          <w:sz w:val="24"/>
          <w:szCs w:val="28"/>
        </w:rPr>
      </w:pPr>
      <w:r>
        <w:rPr>
          <w:sz w:val="24"/>
          <w:szCs w:val="28"/>
        </w:rPr>
        <w:t>1 内管的设计压力不应小于最高工作压力的1.10倍，且不应小于液氢贮罐内容器的计算压力；</w:t>
      </w:r>
    </w:p>
    <w:p>
      <w:pPr>
        <w:spacing w:line="360" w:lineRule="auto"/>
        <w:ind w:firstLine="420"/>
        <w:rPr>
          <w:sz w:val="24"/>
          <w:szCs w:val="28"/>
        </w:rPr>
      </w:pPr>
      <w:r>
        <w:rPr>
          <w:sz w:val="24"/>
          <w:szCs w:val="28"/>
        </w:rPr>
        <w:t>2 两个切断阀之间的管道设计压力不应小于安全泄放阀的整定压力；</w:t>
      </w:r>
    </w:p>
    <w:p>
      <w:pPr>
        <w:spacing w:line="360" w:lineRule="auto"/>
        <w:ind w:firstLine="420"/>
        <w:rPr>
          <w:sz w:val="24"/>
          <w:szCs w:val="28"/>
        </w:rPr>
      </w:pPr>
      <w:r>
        <w:rPr>
          <w:sz w:val="24"/>
          <w:szCs w:val="28"/>
        </w:rPr>
        <w:t>3 外管的设计压力不应低于0.1MPa，且不低于夹层安全泄放阀的整定压力。</w:t>
      </w:r>
    </w:p>
    <w:p>
      <w:pPr>
        <w:spacing w:line="360" w:lineRule="auto"/>
        <w:rPr>
          <w:sz w:val="24"/>
          <w:szCs w:val="28"/>
        </w:rPr>
      </w:pPr>
      <w:r>
        <w:rPr>
          <w:sz w:val="24"/>
          <w:szCs w:val="28"/>
        </w:rPr>
        <w:t>1</w:t>
      </w:r>
      <w:r>
        <w:rPr>
          <w:rFonts w:hint="eastAsia"/>
          <w:sz w:val="24"/>
          <w:szCs w:val="28"/>
        </w:rPr>
        <w:t>2</w:t>
      </w:r>
      <w:r>
        <w:rPr>
          <w:sz w:val="24"/>
          <w:szCs w:val="28"/>
        </w:rPr>
        <w:t>.3.3  真空绝热管道内管、非真空绝热管道的设计温度为-253℃，真空绝热管道外管</w:t>
      </w:r>
      <w:r>
        <w:rPr>
          <w:rFonts w:hint="eastAsia"/>
          <w:sz w:val="24"/>
          <w:szCs w:val="28"/>
        </w:rPr>
        <w:t>的材料应考虑内管破裂情况下的温度影响。</w:t>
      </w:r>
    </w:p>
    <w:p>
      <w:pPr>
        <w:spacing w:line="360" w:lineRule="auto"/>
        <w:rPr>
          <w:sz w:val="24"/>
          <w:szCs w:val="28"/>
        </w:rPr>
      </w:pPr>
      <w:r>
        <w:rPr>
          <w:sz w:val="24"/>
          <w:szCs w:val="28"/>
        </w:rPr>
        <w:t>1</w:t>
      </w:r>
      <w:r>
        <w:rPr>
          <w:rFonts w:hint="eastAsia"/>
          <w:sz w:val="24"/>
          <w:szCs w:val="28"/>
        </w:rPr>
        <w:t>2</w:t>
      </w:r>
      <w:r>
        <w:rPr>
          <w:sz w:val="24"/>
          <w:szCs w:val="28"/>
        </w:rPr>
        <w:t>.3.4  液氢及低温氢气管道</w:t>
      </w:r>
      <w:r>
        <w:rPr>
          <w:rFonts w:hint="eastAsia"/>
          <w:sz w:val="24"/>
          <w:szCs w:val="28"/>
        </w:rPr>
        <w:t>应</w:t>
      </w:r>
      <w:r>
        <w:rPr>
          <w:sz w:val="24"/>
          <w:szCs w:val="28"/>
        </w:rPr>
        <w:t>满足管系柔性设计要求</w:t>
      </w:r>
      <w:r>
        <w:rPr>
          <w:rFonts w:hint="eastAsia"/>
          <w:sz w:val="24"/>
          <w:szCs w:val="28"/>
        </w:rPr>
        <w:t>，</w:t>
      </w:r>
      <w:r>
        <w:rPr>
          <w:sz w:val="24"/>
          <w:szCs w:val="28"/>
        </w:rPr>
        <w:t>当自由补偿不能满足要求时</w:t>
      </w:r>
      <w:r>
        <w:rPr>
          <w:rFonts w:hint="eastAsia"/>
          <w:sz w:val="24"/>
          <w:szCs w:val="28"/>
        </w:rPr>
        <w:t>，可</w:t>
      </w:r>
      <w:r>
        <w:rPr>
          <w:sz w:val="24"/>
          <w:szCs w:val="28"/>
        </w:rPr>
        <w:t>设置波纹补偿器，并应符合下列规定：</w:t>
      </w:r>
    </w:p>
    <w:p>
      <w:pPr>
        <w:spacing w:line="360" w:lineRule="auto"/>
        <w:ind w:firstLine="420"/>
        <w:rPr>
          <w:sz w:val="24"/>
          <w:szCs w:val="28"/>
        </w:rPr>
      </w:pPr>
      <w:r>
        <w:rPr>
          <w:sz w:val="24"/>
          <w:szCs w:val="28"/>
        </w:rPr>
        <w:t>1 波纹管的疲劳寿命</w:t>
      </w:r>
      <w:r>
        <w:rPr>
          <w:rFonts w:hint="eastAsia"/>
          <w:sz w:val="24"/>
          <w:szCs w:val="28"/>
        </w:rPr>
        <w:t>应符合管道整体设计要求；</w:t>
      </w:r>
    </w:p>
    <w:p>
      <w:pPr>
        <w:spacing w:line="360" w:lineRule="auto"/>
        <w:ind w:firstLine="420"/>
        <w:rPr>
          <w:sz w:val="24"/>
          <w:szCs w:val="28"/>
        </w:rPr>
      </w:pPr>
      <w:r>
        <w:rPr>
          <w:sz w:val="24"/>
          <w:szCs w:val="28"/>
        </w:rPr>
        <w:t>2 公称直径小于等于DN150的波纹补偿器，当液氢流速大于0.6m/s、低温氢气流速大于1.2m/s时，波纹管内应设导流衬筒；</w:t>
      </w:r>
    </w:p>
    <w:p>
      <w:pPr>
        <w:spacing w:line="360" w:lineRule="auto"/>
        <w:ind w:firstLine="420"/>
        <w:rPr>
          <w:sz w:val="24"/>
          <w:szCs w:val="28"/>
        </w:rPr>
      </w:pPr>
      <w:r>
        <w:rPr>
          <w:sz w:val="24"/>
          <w:szCs w:val="28"/>
        </w:rPr>
        <w:t>3 公称直径大于DN150的波纹补偿器，当液氢流速大于3m/s、低温氢气流速大于7.5m/s时，波纹管内应设导流衬筒</w:t>
      </w:r>
      <w:r>
        <w:rPr>
          <w:rFonts w:hint="eastAsia"/>
          <w:sz w:val="24"/>
          <w:szCs w:val="28"/>
        </w:rPr>
        <w:t>。</w:t>
      </w:r>
    </w:p>
    <w:p>
      <w:pPr>
        <w:spacing w:line="360" w:lineRule="auto"/>
        <w:rPr>
          <w:sz w:val="20"/>
          <w:szCs w:val="21"/>
        </w:rPr>
      </w:pPr>
      <w:r>
        <w:rPr>
          <w:sz w:val="24"/>
          <w:szCs w:val="28"/>
        </w:rPr>
        <w:t>1</w:t>
      </w:r>
      <w:r>
        <w:rPr>
          <w:rFonts w:hint="eastAsia"/>
          <w:sz w:val="24"/>
          <w:szCs w:val="28"/>
        </w:rPr>
        <w:t>2</w:t>
      </w:r>
      <w:r>
        <w:rPr>
          <w:sz w:val="24"/>
          <w:szCs w:val="28"/>
        </w:rPr>
        <w:t>.3.5  液氢及低温氢气管道应采用奥氏体不锈钢无缝钢管</w:t>
      </w:r>
      <w:r>
        <w:rPr>
          <w:rFonts w:hint="eastAsia"/>
          <w:sz w:val="24"/>
          <w:szCs w:val="28"/>
        </w:rPr>
        <w:t>。</w:t>
      </w:r>
    </w:p>
    <w:p>
      <w:pPr>
        <w:spacing w:line="360" w:lineRule="auto"/>
        <w:rPr>
          <w:sz w:val="24"/>
          <w:szCs w:val="28"/>
        </w:rPr>
      </w:pPr>
      <w:r>
        <w:rPr>
          <w:sz w:val="24"/>
          <w:szCs w:val="28"/>
        </w:rPr>
        <w:t>1</w:t>
      </w:r>
      <w:r>
        <w:rPr>
          <w:rFonts w:hint="eastAsia"/>
          <w:sz w:val="24"/>
          <w:szCs w:val="28"/>
        </w:rPr>
        <w:t>2</w:t>
      </w:r>
      <w:r>
        <w:rPr>
          <w:sz w:val="24"/>
          <w:szCs w:val="28"/>
        </w:rPr>
        <w:t>.3.6  液氢及低温氢气管道的阀门应符合下列规定：</w:t>
      </w:r>
    </w:p>
    <w:p>
      <w:pPr>
        <w:spacing w:line="360" w:lineRule="auto"/>
        <w:ind w:firstLine="420"/>
        <w:rPr>
          <w:sz w:val="24"/>
          <w:szCs w:val="28"/>
        </w:rPr>
      </w:pPr>
      <w:r>
        <w:rPr>
          <w:sz w:val="24"/>
          <w:szCs w:val="28"/>
        </w:rPr>
        <w:t>1 液氢及低温氢气管道的切断阀，宜采用真空绝热的球阀、截止阀，且为加长阀杆型；</w:t>
      </w:r>
    </w:p>
    <w:p>
      <w:pPr>
        <w:spacing w:line="360" w:lineRule="auto"/>
        <w:ind w:firstLine="420"/>
        <w:rPr>
          <w:sz w:val="20"/>
          <w:szCs w:val="21"/>
        </w:rPr>
      </w:pPr>
      <w:r>
        <w:rPr>
          <w:sz w:val="24"/>
          <w:szCs w:val="28"/>
        </w:rPr>
        <w:t>2 阀门的所有材料应与氢具有良好的相容性，阀体应采用奥氏体不锈钢</w:t>
      </w:r>
      <w:r>
        <w:rPr>
          <w:rFonts w:hint="eastAsia"/>
          <w:sz w:val="24"/>
          <w:szCs w:val="28"/>
        </w:rPr>
        <w:t>。</w:t>
      </w:r>
    </w:p>
    <w:p>
      <w:pPr>
        <w:spacing w:line="360" w:lineRule="auto"/>
        <w:rPr>
          <w:sz w:val="24"/>
          <w:szCs w:val="28"/>
        </w:rPr>
      </w:pPr>
      <w:r>
        <w:rPr>
          <w:sz w:val="24"/>
          <w:szCs w:val="28"/>
        </w:rPr>
        <w:t>1</w:t>
      </w:r>
      <w:r>
        <w:rPr>
          <w:rFonts w:hint="eastAsia"/>
          <w:sz w:val="24"/>
          <w:szCs w:val="28"/>
        </w:rPr>
        <w:t>2</w:t>
      </w:r>
      <w:r>
        <w:rPr>
          <w:sz w:val="24"/>
          <w:szCs w:val="28"/>
        </w:rPr>
        <w:t>.3.7  液氢及低温氢气管道的连接应采用焊接，焊接接头型式应为不带垫板的全焊透单面对接焊接头。液氢及低温氢气管道与设备或拆卸部位管道可采用平面真空绝热法兰或真空绝热承插接头连接，不应采用螺纹连接。</w:t>
      </w:r>
    </w:p>
    <w:p>
      <w:pPr>
        <w:spacing w:line="360" w:lineRule="auto"/>
        <w:rPr>
          <w:sz w:val="24"/>
          <w:szCs w:val="28"/>
        </w:rPr>
      </w:pPr>
      <w:r>
        <w:rPr>
          <w:sz w:val="24"/>
          <w:szCs w:val="28"/>
        </w:rPr>
        <w:t>1</w:t>
      </w:r>
      <w:r>
        <w:rPr>
          <w:rFonts w:hint="eastAsia"/>
          <w:sz w:val="24"/>
          <w:szCs w:val="28"/>
        </w:rPr>
        <w:t>2</w:t>
      </w:r>
      <w:r>
        <w:rPr>
          <w:sz w:val="24"/>
          <w:szCs w:val="28"/>
        </w:rPr>
        <w:t>.3.8  两个切断阀之间的液氢及低温氢气管道应设安全泄放阀，其整定压力应大于液氢贮罐内容器安全泄放装置的整定压力，且不应高于此段管道的设计压力。此安全阀</w:t>
      </w:r>
      <w:r>
        <w:rPr>
          <w:rFonts w:hint="eastAsia"/>
          <w:sz w:val="24"/>
          <w:szCs w:val="28"/>
        </w:rPr>
        <w:t>的安装及出口管道设计应考虑防止雨水、凝结液倒流，</w:t>
      </w:r>
      <w:r>
        <w:rPr>
          <w:sz w:val="24"/>
          <w:szCs w:val="28"/>
        </w:rPr>
        <w:t>使泄放气体安全排空。</w:t>
      </w:r>
    </w:p>
    <w:p>
      <w:pPr>
        <w:spacing w:line="360" w:lineRule="auto"/>
        <w:rPr>
          <w:sz w:val="24"/>
          <w:szCs w:val="28"/>
        </w:rPr>
      </w:pPr>
      <w:r>
        <w:rPr>
          <w:sz w:val="24"/>
          <w:szCs w:val="28"/>
        </w:rPr>
        <w:t>1</w:t>
      </w:r>
      <w:r>
        <w:rPr>
          <w:rFonts w:hint="eastAsia"/>
          <w:sz w:val="24"/>
          <w:szCs w:val="28"/>
        </w:rPr>
        <w:t>2</w:t>
      </w:r>
      <w:r>
        <w:rPr>
          <w:sz w:val="24"/>
          <w:szCs w:val="28"/>
        </w:rPr>
        <w:t xml:space="preserve">.3.9  </w:t>
      </w:r>
      <w:r>
        <w:rPr>
          <w:rFonts w:hint="eastAsia"/>
          <w:sz w:val="24"/>
          <w:szCs w:val="28"/>
        </w:rPr>
        <w:t>用于容器自增压的</w:t>
      </w:r>
      <w:r>
        <w:rPr>
          <w:sz w:val="24"/>
          <w:szCs w:val="28"/>
        </w:rPr>
        <w:t>液氢汽化器之后的氢气管道的最大允许工作压力不应高于液氢贮罐内容器的最大允许工作压力。</w:t>
      </w:r>
    </w:p>
    <w:p>
      <w:pPr>
        <w:pStyle w:val="8"/>
        <w:spacing w:line="360" w:lineRule="auto"/>
        <w:ind w:firstLine="0" w:firstLineChars="0"/>
        <w:rPr>
          <w:rFonts w:eastAsia="黑体"/>
          <w:szCs w:val="28"/>
        </w:rPr>
      </w:pPr>
    </w:p>
    <w:p>
      <w:pPr>
        <w:pStyle w:val="8"/>
        <w:spacing w:line="360" w:lineRule="auto"/>
        <w:ind w:firstLine="0" w:firstLineChars="0"/>
        <w:jc w:val="center"/>
        <w:outlineLvl w:val="1"/>
        <w:rPr>
          <w:sz w:val="24"/>
          <w:szCs w:val="28"/>
        </w:rPr>
      </w:pPr>
      <w:bookmarkStart w:id="23" w:name="_Toc108940945"/>
      <w:r>
        <w:rPr>
          <w:sz w:val="24"/>
          <w:szCs w:val="28"/>
        </w:rPr>
        <w:t>1</w:t>
      </w:r>
      <w:r>
        <w:rPr>
          <w:rFonts w:hint="eastAsia"/>
          <w:sz w:val="24"/>
          <w:szCs w:val="28"/>
        </w:rPr>
        <w:t>2</w:t>
      </w:r>
      <w:r>
        <w:rPr>
          <w:sz w:val="24"/>
          <w:szCs w:val="28"/>
        </w:rPr>
        <w:t>.4厂际管道</w:t>
      </w:r>
      <w:bookmarkEnd w:id="23"/>
    </w:p>
    <w:p>
      <w:pPr>
        <w:pStyle w:val="8"/>
        <w:spacing w:line="360" w:lineRule="auto"/>
        <w:ind w:firstLine="0" w:firstLineChars="0"/>
        <w:rPr>
          <w:sz w:val="24"/>
          <w:szCs w:val="28"/>
        </w:rPr>
      </w:pPr>
      <w:r>
        <w:rPr>
          <w:sz w:val="24"/>
          <w:szCs w:val="28"/>
        </w:rPr>
        <w:t>1</w:t>
      </w:r>
      <w:r>
        <w:rPr>
          <w:rFonts w:hint="eastAsia"/>
          <w:sz w:val="24"/>
          <w:szCs w:val="28"/>
        </w:rPr>
        <w:t>2</w:t>
      </w:r>
      <w:r>
        <w:rPr>
          <w:sz w:val="24"/>
          <w:szCs w:val="28"/>
        </w:rPr>
        <w:t xml:space="preserve">.4.1 </w:t>
      </w:r>
      <w:r>
        <w:rPr>
          <w:rFonts w:eastAsia="黑体"/>
          <w:sz w:val="24"/>
          <w:szCs w:val="28"/>
        </w:rPr>
        <w:t xml:space="preserve"> </w:t>
      </w:r>
      <w:r>
        <w:rPr>
          <w:sz w:val="24"/>
          <w:szCs w:val="28"/>
        </w:rPr>
        <w:t>厂际氢气管道是氢气站、供氢站与用氢企业等之间输送氢气的管道，其特征是敷设在涉氢企业的围墙或用地边界之间的公共区域、长度小于或等于30km。</w:t>
      </w:r>
    </w:p>
    <w:p>
      <w:pPr>
        <w:pStyle w:val="8"/>
        <w:spacing w:line="360" w:lineRule="auto"/>
        <w:ind w:firstLine="0" w:firstLineChars="0"/>
        <w:rPr>
          <w:sz w:val="24"/>
          <w:szCs w:val="28"/>
        </w:rPr>
      </w:pPr>
      <w:r>
        <w:rPr>
          <w:sz w:val="24"/>
          <w:szCs w:val="28"/>
        </w:rPr>
        <w:t>1</w:t>
      </w:r>
      <w:r>
        <w:rPr>
          <w:rFonts w:hint="eastAsia"/>
          <w:sz w:val="24"/>
          <w:szCs w:val="28"/>
        </w:rPr>
        <w:t>2</w:t>
      </w:r>
      <w:r>
        <w:rPr>
          <w:sz w:val="24"/>
          <w:szCs w:val="28"/>
        </w:rPr>
        <w:t>.4.2  厂际氢气管道的规划设计，应根据氢气站与用氢企业之间的建筑物、公共设施、交通、电力、水利等的现状或规划，以及沿途的地形、地貌、地质等自然条件，经过综合分析和技术经济比较，确定管线走向和敷设方案。</w:t>
      </w:r>
    </w:p>
    <w:p>
      <w:pPr>
        <w:pStyle w:val="8"/>
        <w:spacing w:line="360" w:lineRule="auto"/>
        <w:ind w:firstLine="0" w:firstLineChars="0"/>
        <w:rPr>
          <w:sz w:val="24"/>
          <w:szCs w:val="28"/>
        </w:rPr>
      </w:pPr>
      <w:r>
        <w:rPr>
          <w:sz w:val="24"/>
          <w:szCs w:val="28"/>
        </w:rPr>
        <w:t>1</w:t>
      </w:r>
      <w:r>
        <w:rPr>
          <w:rFonts w:hint="eastAsia"/>
          <w:sz w:val="24"/>
          <w:szCs w:val="28"/>
        </w:rPr>
        <w:t>2</w:t>
      </w:r>
      <w:r>
        <w:rPr>
          <w:sz w:val="24"/>
          <w:szCs w:val="28"/>
        </w:rPr>
        <w:t>.4.3  厂际氢气管道不得穿越居民区、公共福利设施等人员聚集的区域。</w:t>
      </w:r>
    </w:p>
    <w:p>
      <w:pPr>
        <w:pStyle w:val="8"/>
        <w:spacing w:line="360" w:lineRule="auto"/>
        <w:ind w:firstLine="480"/>
        <w:rPr>
          <w:rFonts w:eastAsia="黑体"/>
          <w:sz w:val="24"/>
          <w:szCs w:val="28"/>
        </w:rPr>
      </w:pPr>
      <w:r>
        <w:rPr>
          <w:rFonts w:hint="eastAsia"/>
          <w:sz w:val="24"/>
          <w:szCs w:val="28"/>
        </w:rPr>
        <w:t>厂际氢气管道宜采用埋地敷设或架空敷设。</w:t>
      </w:r>
    </w:p>
    <w:p>
      <w:pPr>
        <w:pStyle w:val="8"/>
        <w:spacing w:line="360" w:lineRule="auto"/>
        <w:ind w:firstLine="0" w:firstLineChars="0"/>
        <w:rPr>
          <w:sz w:val="24"/>
          <w:szCs w:val="28"/>
        </w:rPr>
      </w:pPr>
      <w:r>
        <w:rPr>
          <w:sz w:val="24"/>
          <w:szCs w:val="28"/>
        </w:rPr>
        <w:t>1</w:t>
      </w:r>
      <w:r>
        <w:rPr>
          <w:rFonts w:hint="eastAsia"/>
          <w:sz w:val="24"/>
          <w:szCs w:val="28"/>
        </w:rPr>
        <w:t>2</w:t>
      </w:r>
      <w:r>
        <w:rPr>
          <w:sz w:val="24"/>
          <w:szCs w:val="28"/>
        </w:rPr>
        <w:t>.4.4  埋地敷设的厂际氢气管道与相邻建筑物、构筑物等之间的防火间距，应符合下列规定：</w:t>
      </w:r>
    </w:p>
    <w:p>
      <w:pPr>
        <w:pStyle w:val="8"/>
        <w:spacing w:line="360" w:lineRule="auto"/>
        <w:ind w:firstLine="480"/>
        <w:rPr>
          <w:sz w:val="24"/>
          <w:szCs w:val="28"/>
        </w:rPr>
      </w:pPr>
      <w:r>
        <w:rPr>
          <w:sz w:val="24"/>
          <w:szCs w:val="28"/>
        </w:rPr>
        <w:t>1与相邻的居民区、村庄、公共福利设施的地界之间，不应小于15m；</w:t>
      </w:r>
    </w:p>
    <w:p>
      <w:pPr>
        <w:pStyle w:val="8"/>
        <w:spacing w:line="360" w:lineRule="auto"/>
        <w:ind w:firstLine="480"/>
        <w:rPr>
          <w:sz w:val="24"/>
          <w:szCs w:val="28"/>
        </w:rPr>
      </w:pPr>
      <w:r>
        <w:rPr>
          <w:sz w:val="24"/>
          <w:szCs w:val="28"/>
        </w:rPr>
        <w:t>2与相邻企业的围墙或地界之间，不应小于10m；</w:t>
      </w:r>
    </w:p>
    <w:p>
      <w:pPr>
        <w:pStyle w:val="8"/>
        <w:spacing w:line="360" w:lineRule="auto"/>
        <w:ind w:firstLine="480"/>
        <w:rPr>
          <w:sz w:val="24"/>
          <w:szCs w:val="28"/>
        </w:rPr>
      </w:pPr>
      <w:r>
        <w:rPr>
          <w:sz w:val="24"/>
          <w:szCs w:val="28"/>
        </w:rPr>
        <w:t>3与铁路线的边界之间，不应小于25m；</w:t>
      </w:r>
    </w:p>
    <w:p>
      <w:pPr>
        <w:pStyle w:val="8"/>
        <w:spacing w:line="360" w:lineRule="auto"/>
        <w:ind w:firstLine="480"/>
        <w:rPr>
          <w:sz w:val="24"/>
          <w:szCs w:val="28"/>
        </w:rPr>
      </w:pPr>
      <w:r>
        <w:rPr>
          <w:sz w:val="24"/>
          <w:szCs w:val="28"/>
        </w:rPr>
        <w:t>4与高速公路之间，不应小于10m；</w:t>
      </w:r>
    </w:p>
    <w:p>
      <w:pPr>
        <w:pStyle w:val="8"/>
        <w:spacing w:line="360" w:lineRule="auto"/>
        <w:ind w:firstLine="480"/>
        <w:rPr>
          <w:sz w:val="24"/>
          <w:szCs w:val="28"/>
        </w:rPr>
      </w:pPr>
      <w:r>
        <w:rPr>
          <w:sz w:val="24"/>
          <w:szCs w:val="28"/>
        </w:rPr>
        <w:t>5与通航的江、河、湖泊的岸边不应小于10m；</w:t>
      </w:r>
    </w:p>
    <w:p>
      <w:pPr>
        <w:pStyle w:val="8"/>
        <w:spacing w:line="360" w:lineRule="auto"/>
        <w:ind w:firstLine="480"/>
        <w:rPr>
          <w:sz w:val="24"/>
          <w:szCs w:val="28"/>
        </w:rPr>
      </w:pPr>
      <w:r>
        <w:rPr>
          <w:sz w:val="24"/>
          <w:szCs w:val="28"/>
        </w:rPr>
        <w:t>6与架空电力、通信线路之间不应小于5m；与电力、通信电缆（线）沟之间不应小于</w:t>
      </w:r>
      <w:r>
        <w:rPr>
          <w:rFonts w:hint="eastAsia"/>
          <w:sz w:val="24"/>
          <w:szCs w:val="28"/>
        </w:rPr>
        <w:t>4</w:t>
      </w:r>
      <w:r>
        <w:rPr>
          <w:sz w:val="24"/>
          <w:szCs w:val="28"/>
        </w:rPr>
        <w:t>m。</w:t>
      </w:r>
    </w:p>
    <w:p>
      <w:pPr>
        <w:pStyle w:val="8"/>
        <w:spacing w:line="360" w:lineRule="auto"/>
        <w:ind w:firstLine="0" w:firstLineChars="0"/>
        <w:rPr>
          <w:sz w:val="24"/>
          <w:szCs w:val="28"/>
        </w:rPr>
      </w:pPr>
      <w:r>
        <w:rPr>
          <w:sz w:val="24"/>
          <w:szCs w:val="28"/>
        </w:rPr>
        <w:t>1</w:t>
      </w:r>
      <w:r>
        <w:rPr>
          <w:rFonts w:hint="eastAsia"/>
          <w:sz w:val="24"/>
          <w:szCs w:val="28"/>
        </w:rPr>
        <w:t>2</w:t>
      </w:r>
      <w:r>
        <w:rPr>
          <w:sz w:val="24"/>
          <w:szCs w:val="28"/>
        </w:rPr>
        <w:t>.4.5  埋地敷设厂际氢气管道，宜减少与公路、铁路、市政重力流体管沟、暗渠等的交叉敷设，若必须交叉敷设时，氢气管道应布置在其上方，且垂直距离不应小于0.5m。</w:t>
      </w:r>
      <w:r>
        <w:rPr>
          <w:rFonts w:hint="eastAsia"/>
          <w:sz w:val="24"/>
          <w:szCs w:val="28"/>
        </w:rPr>
        <w:t>交叉敷设的厂际氢气管道，应设套管，其内径应大于氢气管外径100</w:t>
      </w:r>
      <w:r>
        <w:rPr>
          <w:sz w:val="24"/>
          <w:szCs w:val="28"/>
        </w:rPr>
        <w:t>mm</w:t>
      </w:r>
      <w:r>
        <w:rPr>
          <w:rFonts w:hint="eastAsia"/>
          <w:sz w:val="24"/>
          <w:szCs w:val="28"/>
        </w:rPr>
        <w:t>，套管宜采用钢管。</w:t>
      </w:r>
    </w:p>
    <w:p>
      <w:pPr>
        <w:pStyle w:val="8"/>
        <w:spacing w:line="360" w:lineRule="auto"/>
        <w:ind w:firstLine="0" w:firstLineChars="0"/>
        <w:rPr>
          <w:sz w:val="24"/>
          <w:szCs w:val="28"/>
        </w:rPr>
      </w:pPr>
      <w:r>
        <w:rPr>
          <w:rFonts w:hint="eastAsia"/>
          <w:sz w:val="24"/>
          <w:szCs w:val="28"/>
        </w:rPr>
        <w:t>12.4.6</w:t>
      </w:r>
      <w:r>
        <w:rPr>
          <w:sz w:val="24"/>
          <w:szCs w:val="28"/>
        </w:rPr>
        <w:t xml:space="preserve">  埋地敷设厂际氢气管道与市政重力流管道、暗沟（渠）平行敷设时，其净距不应小于5m</w:t>
      </w:r>
      <w:r>
        <w:rPr>
          <w:rFonts w:hint="eastAsia"/>
          <w:sz w:val="24"/>
          <w:szCs w:val="28"/>
        </w:rPr>
        <w:t>；与热力管沟平行敷设时，其净距不应小于4</w:t>
      </w:r>
      <w:r>
        <w:rPr>
          <w:sz w:val="24"/>
          <w:szCs w:val="28"/>
        </w:rPr>
        <w:t>m</w:t>
      </w:r>
      <w:r>
        <w:rPr>
          <w:rFonts w:hint="eastAsia"/>
          <w:sz w:val="24"/>
          <w:szCs w:val="28"/>
        </w:rPr>
        <w:t>；与直埋热力管的净距不应小于2m。</w:t>
      </w:r>
    </w:p>
    <w:p>
      <w:pPr>
        <w:pStyle w:val="8"/>
        <w:spacing w:line="360" w:lineRule="auto"/>
        <w:ind w:firstLine="0" w:firstLineChars="0"/>
        <w:rPr>
          <w:sz w:val="24"/>
          <w:szCs w:val="28"/>
        </w:rPr>
      </w:pPr>
      <w:r>
        <w:rPr>
          <w:rFonts w:hint="eastAsia"/>
          <w:sz w:val="24"/>
          <w:szCs w:val="28"/>
        </w:rPr>
        <w:t>12.4.7</w:t>
      </w:r>
      <w:r>
        <w:rPr>
          <w:sz w:val="24"/>
          <w:szCs w:val="28"/>
        </w:rPr>
        <w:t xml:space="preserve">  </w:t>
      </w:r>
      <w:r>
        <w:rPr>
          <w:rFonts w:hint="eastAsia"/>
          <w:sz w:val="24"/>
          <w:szCs w:val="28"/>
        </w:rPr>
        <w:t>架空敷设的厂际氢气管道与相邻建筑物、构筑物或设施的防火间距，应符合下列规定：</w:t>
      </w:r>
    </w:p>
    <w:p>
      <w:pPr>
        <w:pStyle w:val="8"/>
        <w:spacing w:line="360" w:lineRule="auto"/>
        <w:ind w:firstLine="480"/>
        <w:rPr>
          <w:sz w:val="24"/>
          <w:szCs w:val="28"/>
        </w:rPr>
      </w:pPr>
      <w:r>
        <w:rPr>
          <w:rFonts w:hint="eastAsia"/>
          <w:sz w:val="24"/>
          <w:szCs w:val="28"/>
        </w:rPr>
        <w:t>1</w:t>
      </w:r>
      <w:r>
        <w:rPr>
          <w:sz w:val="24"/>
          <w:szCs w:val="28"/>
        </w:rPr>
        <w:t xml:space="preserve"> </w:t>
      </w:r>
      <w:r>
        <w:rPr>
          <w:rFonts w:hint="eastAsia"/>
          <w:sz w:val="24"/>
          <w:szCs w:val="28"/>
        </w:rPr>
        <w:t>与相邻的居民区、村庄、公共福利设施的地界之间，不应小于25</w:t>
      </w:r>
      <w:r>
        <w:rPr>
          <w:sz w:val="24"/>
          <w:szCs w:val="28"/>
        </w:rPr>
        <w:t>m</w:t>
      </w:r>
      <w:r>
        <w:rPr>
          <w:rFonts w:hint="eastAsia"/>
          <w:sz w:val="24"/>
          <w:szCs w:val="28"/>
        </w:rPr>
        <w:t>；</w:t>
      </w:r>
    </w:p>
    <w:p>
      <w:pPr>
        <w:pStyle w:val="8"/>
        <w:spacing w:line="360" w:lineRule="auto"/>
        <w:ind w:firstLine="480"/>
        <w:rPr>
          <w:sz w:val="24"/>
          <w:szCs w:val="28"/>
        </w:rPr>
      </w:pPr>
      <w:r>
        <w:rPr>
          <w:rFonts w:hint="eastAsia"/>
          <w:sz w:val="24"/>
          <w:szCs w:val="28"/>
        </w:rPr>
        <w:t>2</w:t>
      </w:r>
      <w:r>
        <w:rPr>
          <w:sz w:val="24"/>
          <w:szCs w:val="28"/>
        </w:rPr>
        <w:t xml:space="preserve"> </w:t>
      </w:r>
      <w:r>
        <w:rPr>
          <w:rFonts w:hint="eastAsia"/>
          <w:sz w:val="24"/>
          <w:szCs w:val="28"/>
        </w:rPr>
        <w:t>与相邻企业的围墙或地界之间，不应小于20</w:t>
      </w:r>
      <w:r>
        <w:rPr>
          <w:sz w:val="24"/>
          <w:szCs w:val="28"/>
        </w:rPr>
        <w:t>m</w:t>
      </w:r>
      <w:r>
        <w:rPr>
          <w:rFonts w:hint="eastAsia"/>
          <w:sz w:val="24"/>
          <w:szCs w:val="28"/>
        </w:rPr>
        <w:t>；</w:t>
      </w:r>
    </w:p>
    <w:p>
      <w:pPr>
        <w:pStyle w:val="8"/>
        <w:spacing w:line="360" w:lineRule="auto"/>
        <w:ind w:firstLine="480"/>
        <w:rPr>
          <w:sz w:val="24"/>
          <w:szCs w:val="28"/>
        </w:rPr>
      </w:pPr>
      <w:r>
        <w:rPr>
          <w:rFonts w:hint="eastAsia"/>
          <w:sz w:val="24"/>
          <w:szCs w:val="28"/>
        </w:rPr>
        <w:t>3</w:t>
      </w:r>
      <w:r>
        <w:rPr>
          <w:sz w:val="24"/>
          <w:szCs w:val="28"/>
        </w:rPr>
        <w:t xml:space="preserve"> </w:t>
      </w:r>
      <w:r>
        <w:rPr>
          <w:rFonts w:hint="eastAsia"/>
          <w:sz w:val="24"/>
          <w:szCs w:val="28"/>
        </w:rPr>
        <w:t>与国家铁路线的边界之间，应不小于50</w:t>
      </w:r>
      <w:r>
        <w:rPr>
          <w:sz w:val="24"/>
          <w:szCs w:val="28"/>
        </w:rPr>
        <w:t>m</w:t>
      </w:r>
      <w:r>
        <w:rPr>
          <w:rFonts w:hint="eastAsia"/>
          <w:sz w:val="24"/>
          <w:szCs w:val="28"/>
        </w:rPr>
        <w:t>；与高速公路、一级公路的边界之间，不应小于20m；与其他公路之间，不应小于10</w:t>
      </w:r>
      <w:r>
        <w:rPr>
          <w:sz w:val="24"/>
          <w:szCs w:val="28"/>
        </w:rPr>
        <w:t>m</w:t>
      </w:r>
      <w:r>
        <w:rPr>
          <w:rFonts w:hint="eastAsia"/>
          <w:sz w:val="24"/>
          <w:szCs w:val="28"/>
        </w:rPr>
        <w:t>；</w:t>
      </w:r>
    </w:p>
    <w:p>
      <w:pPr>
        <w:pStyle w:val="8"/>
        <w:spacing w:line="360" w:lineRule="auto"/>
        <w:ind w:firstLine="480"/>
        <w:rPr>
          <w:sz w:val="24"/>
          <w:szCs w:val="28"/>
        </w:rPr>
      </w:pPr>
      <w:r>
        <w:rPr>
          <w:rFonts w:hint="eastAsia"/>
          <w:sz w:val="24"/>
          <w:szCs w:val="28"/>
        </w:rPr>
        <w:t>4</w:t>
      </w:r>
      <w:r>
        <w:rPr>
          <w:sz w:val="24"/>
          <w:szCs w:val="28"/>
        </w:rPr>
        <w:t xml:space="preserve"> </w:t>
      </w:r>
      <w:r>
        <w:rPr>
          <w:rFonts w:hint="eastAsia"/>
          <w:sz w:val="24"/>
          <w:szCs w:val="28"/>
        </w:rPr>
        <w:t>与架空电力、通信线路之间，不应小于1倍杆高；</w:t>
      </w:r>
    </w:p>
    <w:p>
      <w:pPr>
        <w:pStyle w:val="8"/>
        <w:spacing w:line="360" w:lineRule="auto"/>
        <w:ind w:firstLine="480"/>
        <w:rPr>
          <w:sz w:val="24"/>
          <w:szCs w:val="28"/>
        </w:rPr>
      </w:pPr>
      <w:r>
        <w:rPr>
          <w:rFonts w:hint="eastAsia"/>
          <w:sz w:val="24"/>
          <w:szCs w:val="28"/>
        </w:rPr>
        <w:t>5</w:t>
      </w:r>
      <w:r>
        <w:rPr>
          <w:sz w:val="24"/>
          <w:szCs w:val="28"/>
        </w:rPr>
        <w:t xml:space="preserve"> </w:t>
      </w:r>
      <w:r>
        <w:rPr>
          <w:rFonts w:hint="eastAsia"/>
          <w:sz w:val="24"/>
          <w:szCs w:val="28"/>
        </w:rPr>
        <w:t>与通航的江、河、湖泊的岸边，不应小于15</w:t>
      </w:r>
      <w:r>
        <w:rPr>
          <w:sz w:val="24"/>
          <w:szCs w:val="28"/>
        </w:rPr>
        <w:t>m</w:t>
      </w:r>
      <w:r>
        <w:rPr>
          <w:rFonts w:hint="eastAsia"/>
          <w:sz w:val="24"/>
          <w:szCs w:val="28"/>
        </w:rPr>
        <w:t>。</w:t>
      </w:r>
    </w:p>
    <w:p>
      <w:pPr>
        <w:pStyle w:val="8"/>
        <w:spacing w:line="360" w:lineRule="auto"/>
        <w:ind w:firstLine="0" w:firstLineChars="0"/>
        <w:rPr>
          <w:sz w:val="24"/>
          <w:szCs w:val="28"/>
        </w:rPr>
      </w:pPr>
      <w:r>
        <w:rPr>
          <w:rFonts w:hint="eastAsia"/>
          <w:sz w:val="24"/>
          <w:szCs w:val="28"/>
        </w:rPr>
        <w:t>12.4.8</w:t>
      </w:r>
      <w:r>
        <w:rPr>
          <w:sz w:val="24"/>
          <w:szCs w:val="28"/>
        </w:rPr>
        <w:t xml:space="preserve">  </w:t>
      </w:r>
      <w:r>
        <w:rPr>
          <w:rFonts w:hint="eastAsia"/>
          <w:sz w:val="24"/>
          <w:szCs w:val="28"/>
        </w:rPr>
        <w:t>架空敷设的厂际氢气管道与市政重力流管道、暗沟（渠）平行敷设时，其净距不应小于8</w:t>
      </w:r>
      <w:r>
        <w:rPr>
          <w:sz w:val="24"/>
          <w:szCs w:val="28"/>
        </w:rPr>
        <w:t>m</w:t>
      </w:r>
      <w:r>
        <w:rPr>
          <w:rFonts w:hint="eastAsia"/>
          <w:sz w:val="24"/>
          <w:szCs w:val="28"/>
        </w:rPr>
        <w:t>。</w:t>
      </w:r>
    </w:p>
    <w:p>
      <w:pPr>
        <w:pStyle w:val="8"/>
        <w:spacing w:line="360" w:lineRule="auto"/>
        <w:ind w:firstLine="0" w:firstLineChars="0"/>
        <w:rPr>
          <w:sz w:val="24"/>
          <w:szCs w:val="28"/>
        </w:rPr>
      </w:pPr>
      <w:r>
        <w:rPr>
          <w:rFonts w:hint="eastAsia"/>
          <w:sz w:val="24"/>
          <w:szCs w:val="28"/>
        </w:rPr>
        <w:t>12.4.9</w:t>
      </w:r>
      <w:r>
        <w:rPr>
          <w:sz w:val="24"/>
          <w:szCs w:val="28"/>
        </w:rPr>
        <w:t xml:space="preserve">  </w:t>
      </w:r>
      <w:r>
        <w:rPr>
          <w:rFonts w:hint="eastAsia"/>
          <w:sz w:val="24"/>
          <w:szCs w:val="28"/>
        </w:rPr>
        <w:t>架空敷设的厂际氢气管道与铁路交叉时，与铁路轨顶的最小垂直净距为6</w:t>
      </w:r>
      <w:r>
        <w:rPr>
          <w:sz w:val="24"/>
          <w:szCs w:val="28"/>
        </w:rPr>
        <w:t>m</w:t>
      </w:r>
      <w:r>
        <w:rPr>
          <w:rFonts w:hint="eastAsia"/>
          <w:sz w:val="24"/>
          <w:szCs w:val="28"/>
        </w:rPr>
        <w:t>，并不得与电气机车的铁路交叉敷设。</w:t>
      </w:r>
    </w:p>
    <w:p>
      <w:pPr>
        <w:pStyle w:val="8"/>
        <w:spacing w:line="360" w:lineRule="auto"/>
        <w:ind w:firstLine="484" w:firstLineChars="202"/>
        <w:rPr>
          <w:sz w:val="24"/>
          <w:szCs w:val="28"/>
        </w:rPr>
      </w:pPr>
      <w:r>
        <w:rPr>
          <w:rFonts w:hint="eastAsia"/>
          <w:sz w:val="24"/>
          <w:szCs w:val="28"/>
        </w:rPr>
        <w:t>架空敷设的厂际氢气管道与城市道路交叉时，与道路路面的最小垂直净距为5.5</w:t>
      </w:r>
      <w:r>
        <w:rPr>
          <w:sz w:val="24"/>
          <w:szCs w:val="28"/>
        </w:rPr>
        <w:t>m</w:t>
      </w:r>
      <w:r>
        <w:rPr>
          <w:rFonts w:hint="eastAsia"/>
          <w:sz w:val="24"/>
          <w:szCs w:val="28"/>
        </w:rPr>
        <w:t>。</w:t>
      </w:r>
    </w:p>
    <w:p>
      <w:pPr>
        <w:pStyle w:val="8"/>
        <w:spacing w:line="360" w:lineRule="auto"/>
        <w:ind w:firstLine="0" w:firstLineChars="0"/>
        <w:rPr>
          <w:sz w:val="24"/>
          <w:szCs w:val="28"/>
        </w:rPr>
      </w:pPr>
      <w:r>
        <w:rPr>
          <w:sz w:val="24"/>
          <w:szCs w:val="28"/>
        </w:rPr>
        <w:t>1</w:t>
      </w:r>
      <w:r>
        <w:rPr>
          <w:rFonts w:hint="eastAsia"/>
          <w:sz w:val="24"/>
          <w:szCs w:val="28"/>
        </w:rPr>
        <w:t>2</w:t>
      </w:r>
      <w:r>
        <w:rPr>
          <w:sz w:val="24"/>
          <w:szCs w:val="28"/>
        </w:rPr>
        <w:t>.4.</w:t>
      </w:r>
      <w:r>
        <w:rPr>
          <w:rFonts w:hint="eastAsia"/>
          <w:sz w:val="24"/>
          <w:szCs w:val="28"/>
        </w:rPr>
        <w:t>10</w:t>
      </w:r>
      <w:r>
        <w:rPr>
          <w:sz w:val="24"/>
          <w:szCs w:val="28"/>
        </w:rPr>
        <w:t xml:space="preserve">  厂际氢气管道的分支管道应设切断阀。</w:t>
      </w:r>
    </w:p>
    <w:p>
      <w:pPr>
        <w:pStyle w:val="8"/>
        <w:spacing w:line="360" w:lineRule="auto"/>
        <w:ind w:firstLine="0" w:firstLineChars="0"/>
        <w:rPr>
          <w:sz w:val="24"/>
          <w:szCs w:val="28"/>
        </w:rPr>
      </w:pPr>
      <w:r>
        <w:rPr>
          <w:rFonts w:hint="eastAsia"/>
          <w:sz w:val="24"/>
          <w:szCs w:val="28"/>
        </w:rPr>
        <w:t>12.4.11</w:t>
      </w:r>
      <w:r>
        <w:rPr>
          <w:sz w:val="24"/>
          <w:szCs w:val="28"/>
        </w:rPr>
        <w:t xml:space="preserve">  </w:t>
      </w:r>
      <w:r>
        <w:rPr>
          <w:rFonts w:hint="eastAsia"/>
          <w:sz w:val="24"/>
          <w:szCs w:val="28"/>
        </w:rPr>
        <w:t>埋设敷设的厂际氢气管道，应在沿线设置显示的标识。架空敷设的厂际氢气管道，经过人员可能较多的区域时，应设置防止人员侵入的防护栏。</w:t>
      </w:r>
    </w:p>
    <w:p>
      <w:pPr>
        <w:pStyle w:val="8"/>
        <w:spacing w:line="360" w:lineRule="auto"/>
        <w:ind w:firstLine="0" w:firstLineChars="0"/>
        <w:rPr>
          <w:szCs w:val="28"/>
        </w:rPr>
      </w:pPr>
    </w:p>
    <w:p>
      <w:pPr>
        <w:pStyle w:val="8"/>
        <w:ind w:firstLine="0" w:firstLineChars="0"/>
        <w:jc w:val="center"/>
        <w:outlineLvl w:val="0"/>
        <w:rPr>
          <w:sz w:val="30"/>
          <w:szCs w:val="30"/>
        </w:rPr>
      </w:pPr>
      <w:r>
        <w:br w:type="page"/>
      </w:r>
      <w:bookmarkStart w:id="24" w:name="_Toc108940946"/>
      <w:r>
        <w:rPr>
          <w:sz w:val="30"/>
          <w:szCs w:val="30"/>
        </w:rPr>
        <w:t>附录A  氢气站爆炸危险区域的等级范围划分</w:t>
      </w:r>
      <w:bookmarkEnd w:id="24"/>
    </w:p>
    <w:p>
      <w:pPr>
        <w:pStyle w:val="8"/>
      </w:pPr>
    </w:p>
    <w:p>
      <w:pPr>
        <w:pStyle w:val="8"/>
        <w:ind w:firstLine="0" w:firstLineChars="0"/>
        <w:rPr>
          <w:sz w:val="24"/>
        </w:rPr>
      </w:pPr>
      <w:r>
        <w:rPr>
          <w:sz w:val="24"/>
        </w:rPr>
        <w:t>A.0.1  爆炸危险区域的等级定义应符合现行国家标准《爆炸危险环境电力装置设计规范》GB 50058的规定。</w:t>
      </w:r>
    </w:p>
    <w:p>
      <w:pPr>
        <w:pStyle w:val="8"/>
        <w:ind w:firstLine="0" w:firstLineChars="0"/>
        <w:rPr>
          <w:sz w:val="24"/>
        </w:rPr>
      </w:pPr>
      <w:r>
        <w:rPr>
          <w:sz w:val="24"/>
        </w:rPr>
        <w:t>A.0.2  氢气站厂房内有爆炸危险区域的划分，应符合下列规定（图A.0.2）：</w:t>
      </w:r>
    </w:p>
    <w:p>
      <w:pPr>
        <w:pStyle w:val="8"/>
        <w:ind w:firstLineChars="0"/>
        <w:rPr>
          <w:sz w:val="24"/>
        </w:rPr>
      </w:pPr>
      <w:r>
        <w:rPr>
          <w:sz w:val="24"/>
        </w:rPr>
        <w:t>1制氢间、氢气纯化间、氢气压缩机间、氢气灌瓶间等有爆炸危险房间为1区；</w:t>
      </w:r>
    </w:p>
    <w:p>
      <w:pPr>
        <w:pStyle w:val="8"/>
        <w:ind w:firstLine="480"/>
        <w:rPr>
          <w:sz w:val="24"/>
        </w:rPr>
      </w:pPr>
      <w:r>
        <w:rPr>
          <w:sz w:val="24"/>
        </w:rPr>
        <w:t>2从上述各类房间的门窗边沿计算，半径为4.5m的地面</w:t>
      </w:r>
      <w:r>
        <w:rPr>
          <w:rFonts w:hint="eastAsia"/>
          <w:sz w:val="24"/>
        </w:rPr>
        <w:t>及周围</w:t>
      </w:r>
      <w:r>
        <w:rPr>
          <w:sz w:val="24"/>
        </w:rPr>
        <w:t>空间</w:t>
      </w:r>
      <w:r>
        <w:rPr>
          <w:rFonts w:hint="eastAsia"/>
          <w:sz w:val="24"/>
        </w:rPr>
        <w:t>、7</w:t>
      </w:r>
      <w:r>
        <w:rPr>
          <w:sz w:val="24"/>
        </w:rPr>
        <w:t>.5</w:t>
      </w:r>
      <w:r>
        <w:rPr>
          <w:rFonts w:hint="eastAsia"/>
          <w:sz w:val="24"/>
        </w:rPr>
        <w:t>m的顶部空间</w:t>
      </w:r>
      <w:r>
        <w:rPr>
          <w:sz w:val="24"/>
        </w:rPr>
        <w:t>区域为2区。</w:t>
      </w:r>
    </w:p>
    <w:p>
      <w:pPr>
        <w:pStyle w:val="8"/>
        <w:ind w:firstLine="0" w:firstLineChars="0"/>
        <w:jc w:val="center"/>
      </w:pPr>
      <w:r>
        <w:drawing>
          <wp:inline distT="0" distB="0" distL="0" distR="0">
            <wp:extent cx="4643755" cy="303466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644000" cy="3034919"/>
                    </a:xfrm>
                    <a:prstGeom prst="rect">
                      <a:avLst/>
                    </a:prstGeom>
                  </pic:spPr>
                </pic:pic>
              </a:graphicData>
            </a:graphic>
          </wp:inline>
        </w:drawing>
      </w:r>
    </w:p>
    <w:p>
      <w:pPr>
        <w:pStyle w:val="8"/>
        <w:ind w:firstLine="0" w:firstLineChars="0"/>
      </w:pPr>
    </w:p>
    <w:p>
      <w:pPr>
        <w:pStyle w:val="8"/>
        <w:ind w:firstLine="0" w:firstLineChars="0"/>
        <w:jc w:val="center"/>
      </w:pPr>
      <w:r>
        <w:drawing>
          <wp:inline distT="0" distB="0" distL="0" distR="0">
            <wp:extent cx="4643755" cy="2140585"/>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644000" cy="2140973"/>
                    </a:xfrm>
                    <a:prstGeom prst="rect">
                      <a:avLst/>
                    </a:prstGeom>
                  </pic:spPr>
                </pic:pic>
              </a:graphicData>
            </a:graphic>
          </wp:inline>
        </w:drawing>
      </w:r>
    </w:p>
    <w:p>
      <w:pPr>
        <w:pStyle w:val="8"/>
        <w:ind w:firstLine="0" w:firstLineChars="0"/>
        <w:jc w:val="center"/>
        <w:rPr>
          <w:sz w:val="24"/>
        </w:rPr>
      </w:pPr>
      <w:r>
        <w:rPr>
          <w:sz w:val="24"/>
        </w:rPr>
        <w:t>图A.0.2氢气站厂房内有爆炸危险区域划分</w:t>
      </w:r>
    </w:p>
    <w:p>
      <w:pPr>
        <w:pStyle w:val="8"/>
        <w:ind w:firstLine="0" w:firstLineChars="0"/>
        <w:rPr>
          <w:sz w:val="24"/>
        </w:rPr>
      </w:pPr>
      <w:r>
        <w:rPr>
          <w:sz w:val="24"/>
        </w:rPr>
        <w:t>A.0.3  氢气站内的室外制氢设备、氢气储存压力容器的爆炸危险区域划分，应符合下列规定（图A.0.3）：</w:t>
      </w:r>
    </w:p>
    <w:p>
      <w:pPr>
        <w:pStyle w:val="8"/>
        <w:ind w:firstLine="520" w:firstLineChars="217"/>
        <w:rPr>
          <w:sz w:val="24"/>
        </w:rPr>
      </w:pPr>
      <w:r>
        <w:rPr>
          <w:sz w:val="24"/>
        </w:rPr>
        <w:t>1从室外制氢设备、氢气储存压力容器的边沿计算，距离为4.5m，顶部距离为7.5m的空间区域为2区；</w:t>
      </w:r>
    </w:p>
    <w:p>
      <w:pPr>
        <w:pStyle w:val="8"/>
        <w:ind w:firstLine="520" w:firstLineChars="217"/>
        <w:rPr>
          <w:sz w:val="24"/>
        </w:rPr>
      </w:pPr>
      <w:r>
        <w:rPr>
          <w:sz w:val="24"/>
        </w:rPr>
        <w:t>2从氢气排放口计算，半径为4.5m的空间和顶部距离为7.5m的区域为2区。</w:t>
      </w:r>
    </w:p>
    <w:p>
      <w:pPr>
        <w:pStyle w:val="8"/>
        <w:ind w:firstLine="400"/>
      </w:pPr>
      <w:r>
        <w:rPr>
          <w:sz w:val="20"/>
        </w:rPr>
        <w:pict>
          <v:shape id="_x0000_s2058" o:spid="_x0000_s2058" o:spt="75" type="#_x0000_t75" style="position:absolute;left:0pt;margin-left:49.5pt;margin-top:0pt;height:310.9pt;width:322.0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12" cropleft="11969f" cropright="13190f" o:title=""/>
            <o:lock v:ext="edit" aspectratio="t"/>
            <w10:wrap type="square"/>
          </v:shape>
          <o:OLEObject Type="Embed" ProgID="AutoCAD.Drawing.14" ShapeID="_x0000_s2058" DrawAspect="Content" ObjectID="_1468075726" r:id="rId11">
            <o:LockedField>false</o:LockedField>
          </o:OLEObject>
        </w:pic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ind w:firstLine="0" w:firstLineChars="0"/>
        <w:jc w:val="center"/>
        <w:rPr>
          <w:sz w:val="24"/>
        </w:rPr>
      </w:pPr>
      <w:r>
        <w:rPr>
          <w:sz w:val="24"/>
        </w:rPr>
        <w:t>图A.0.3氢气站内的室外制氢设备、氢气储存压力容器的爆炸危险区域划分</w:t>
      </w:r>
    </w:p>
    <w:p>
      <w:pPr>
        <w:pStyle w:val="8"/>
        <w:ind w:firstLine="0" w:firstLineChars="0"/>
        <w:jc w:val="center"/>
        <w:outlineLvl w:val="0"/>
        <w:rPr>
          <w:sz w:val="30"/>
          <w:szCs w:val="30"/>
        </w:rPr>
      </w:pPr>
      <w:r>
        <w:br w:type="page"/>
      </w:r>
      <w:bookmarkStart w:id="25" w:name="_Toc108940947"/>
      <w:r>
        <w:rPr>
          <w:sz w:val="30"/>
          <w:szCs w:val="30"/>
        </w:rPr>
        <w:t xml:space="preserve">附录B  </w:t>
      </w:r>
      <w:r>
        <w:rPr>
          <w:rFonts w:hint="eastAsia"/>
          <w:sz w:val="30"/>
          <w:szCs w:val="30"/>
        </w:rPr>
        <w:t>室内</w:t>
      </w:r>
      <w:r>
        <w:rPr>
          <w:sz w:val="30"/>
          <w:szCs w:val="30"/>
        </w:rPr>
        <w:t>架空氢气管道与其它架空管线之间的最小净距</w:t>
      </w:r>
      <w:bookmarkEnd w:id="25"/>
    </w:p>
    <w:p>
      <w:pPr>
        <w:pStyle w:val="8"/>
      </w:pPr>
    </w:p>
    <w:p>
      <w:pPr>
        <w:pStyle w:val="8"/>
        <w:ind w:firstLine="0" w:firstLineChars="0"/>
        <w:jc w:val="center"/>
        <w:rPr>
          <w:sz w:val="21"/>
          <w:szCs w:val="21"/>
        </w:rPr>
      </w:pPr>
      <w:r>
        <w:rPr>
          <w:sz w:val="21"/>
          <w:szCs w:val="21"/>
        </w:rPr>
        <w:t xml:space="preserve">表B  </w:t>
      </w:r>
      <w:r>
        <w:rPr>
          <w:rFonts w:hint="eastAsia"/>
          <w:sz w:val="21"/>
          <w:szCs w:val="21"/>
        </w:rPr>
        <w:t>室内</w:t>
      </w:r>
      <w:r>
        <w:rPr>
          <w:sz w:val="21"/>
          <w:szCs w:val="21"/>
        </w:rPr>
        <w:t>架空氢气管道与其他架空管线之间的最小净距（m）</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8"/>
        <w:gridCol w:w="2427"/>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Borders>
              <w:bottom w:val="single" w:color="auto" w:sz="4" w:space="0"/>
            </w:tcBorders>
            <w:vAlign w:val="center"/>
          </w:tcPr>
          <w:p>
            <w:pPr>
              <w:pStyle w:val="8"/>
              <w:ind w:firstLine="0" w:firstLineChars="0"/>
              <w:jc w:val="center"/>
              <w:rPr>
                <w:b/>
                <w:bCs/>
                <w:sz w:val="21"/>
                <w:szCs w:val="21"/>
              </w:rPr>
            </w:pPr>
            <w:r>
              <w:rPr>
                <w:b/>
                <w:bCs/>
                <w:sz w:val="21"/>
                <w:szCs w:val="21"/>
              </w:rPr>
              <w:t>名     称</w:t>
            </w:r>
          </w:p>
        </w:tc>
        <w:tc>
          <w:tcPr>
            <w:tcW w:w="2427" w:type="dxa"/>
            <w:tcBorders>
              <w:bottom w:val="single" w:color="auto" w:sz="4" w:space="0"/>
            </w:tcBorders>
            <w:vAlign w:val="center"/>
          </w:tcPr>
          <w:p>
            <w:pPr>
              <w:pStyle w:val="8"/>
              <w:ind w:firstLine="0" w:firstLineChars="0"/>
              <w:jc w:val="center"/>
              <w:rPr>
                <w:b/>
                <w:bCs/>
                <w:sz w:val="21"/>
                <w:szCs w:val="21"/>
              </w:rPr>
            </w:pPr>
            <w:r>
              <w:rPr>
                <w:b/>
                <w:bCs/>
                <w:sz w:val="21"/>
                <w:szCs w:val="21"/>
              </w:rPr>
              <w:t>平行净距</w:t>
            </w:r>
          </w:p>
        </w:tc>
        <w:tc>
          <w:tcPr>
            <w:tcW w:w="2843" w:type="dxa"/>
            <w:tcBorders>
              <w:bottom w:val="single" w:color="auto" w:sz="4" w:space="0"/>
            </w:tcBorders>
            <w:vAlign w:val="center"/>
          </w:tcPr>
          <w:p>
            <w:pPr>
              <w:pStyle w:val="8"/>
              <w:ind w:firstLine="0" w:firstLineChars="0"/>
              <w:jc w:val="center"/>
              <w:rPr>
                <w:b/>
                <w:bCs/>
                <w:sz w:val="21"/>
                <w:szCs w:val="21"/>
              </w:rPr>
            </w:pPr>
            <w:r>
              <w:rPr>
                <w:b/>
                <w:bCs/>
                <w:sz w:val="21"/>
                <w:szCs w:val="21"/>
              </w:rPr>
              <w:t>交叉净距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Borders>
              <w:bottom w:val="nil"/>
              <w:right w:val="single" w:color="auto" w:sz="4" w:space="0"/>
            </w:tcBorders>
            <w:vAlign w:val="center"/>
          </w:tcPr>
          <w:p>
            <w:pPr>
              <w:pStyle w:val="8"/>
              <w:ind w:firstLine="0" w:firstLineChars="0"/>
              <w:rPr>
                <w:sz w:val="21"/>
                <w:szCs w:val="21"/>
              </w:rPr>
            </w:pPr>
            <w:r>
              <w:rPr>
                <w:sz w:val="21"/>
                <w:szCs w:val="21"/>
              </w:rPr>
              <w:t>给水管、排水管</w:t>
            </w:r>
          </w:p>
        </w:tc>
        <w:tc>
          <w:tcPr>
            <w:tcW w:w="2427" w:type="dxa"/>
            <w:tcBorders>
              <w:left w:val="single" w:color="auto" w:sz="4" w:space="0"/>
              <w:bottom w:val="nil"/>
              <w:right w:val="single" w:color="auto" w:sz="4" w:space="0"/>
            </w:tcBorders>
            <w:vAlign w:val="center"/>
          </w:tcPr>
          <w:p>
            <w:pPr>
              <w:pStyle w:val="8"/>
              <w:ind w:firstLine="0" w:firstLineChars="0"/>
              <w:jc w:val="center"/>
              <w:rPr>
                <w:sz w:val="21"/>
                <w:szCs w:val="21"/>
              </w:rPr>
            </w:pPr>
            <w:r>
              <w:rPr>
                <w:sz w:val="21"/>
                <w:szCs w:val="21"/>
              </w:rPr>
              <w:t>0.25</w:t>
            </w:r>
          </w:p>
        </w:tc>
        <w:tc>
          <w:tcPr>
            <w:tcW w:w="2843" w:type="dxa"/>
            <w:tcBorders>
              <w:left w:val="single" w:color="auto" w:sz="4" w:space="0"/>
              <w:bottom w:val="nil"/>
            </w:tcBorders>
            <w:vAlign w:val="center"/>
          </w:tcPr>
          <w:p>
            <w:pPr>
              <w:pStyle w:val="8"/>
              <w:ind w:firstLine="0" w:firstLineChars="0"/>
              <w:jc w:val="center"/>
              <w:rPr>
                <w:sz w:val="21"/>
                <w:szCs w:val="21"/>
              </w:rPr>
            </w:pPr>
            <w:r>
              <w:rPr>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Borders>
              <w:top w:val="nil"/>
              <w:bottom w:val="nil"/>
              <w:right w:val="single" w:color="auto" w:sz="4" w:space="0"/>
            </w:tcBorders>
            <w:vAlign w:val="center"/>
          </w:tcPr>
          <w:p>
            <w:pPr>
              <w:pStyle w:val="8"/>
              <w:ind w:firstLine="0" w:firstLineChars="0"/>
              <w:rPr>
                <w:sz w:val="21"/>
                <w:szCs w:val="21"/>
              </w:rPr>
            </w:pPr>
            <w:r>
              <w:rPr>
                <w:sz w:val="21"/>
                <w:szCs w:val="21"/>
              </w:rPr>
              <w:t>热力管（蒸汽压力不超过1.3MPa）</w:t>
            </w:r>
          </w:p>
        </w:tc>
        <w:tc>
          <w:tcPr>
            <w:tcW w:w="2427" w:type="dxa"/>
            <w:tcBorders>
              <w:top w:val="nil"/>
              <w:left w:val="single" w:color="auto" w:sz="4" w:space="0"/>
              <w:bottom w:val="nil"/>
              <w:right w:val="single" w:color="auto" w:sz="4" w:space="0"/>
            </w:tcBorders>
            <w:vAlign w:val="center"/>
          </w:tcPr>
          <w:p>
            <w:pPr>
              <w:pStyle w:val="8"/>
              <w:ind w:firstLine="0" w:firstLineChars="0"/>
              <w:jc w:val="center"/>
              <w:rPr>
                <w:sz w:val="21"/>
                <w:szCs w:val="21"/>
              </w:rPr>
            </w:pPr>
            <w:r>
              <w:rPr>
                <w:sz w:val="21"/>
                <w:szCs w:val="21"/>
              </w:rPr>
              <w:t>0.25</w:t>
            </w:r>
          </w:p>
        </w:tc>
        <w:tc>
          <w:tcPr>
            <w:tcW w:w="2843" w:type="dxa"/>
            <w:tcBorders>
              <w:top w:val="nil"/>
              <w:left w:val="single" w:color="auto" w:sz="4" w:space="0"/>
              <w:bottom w:val="nil"/>
            </w:tcBorders>
            <w:vAlign w:val="center"/>
          </w:tcPr>
          <w:p>
            <w:pPr>
              <w:pStyle w:val="8"/>
              <w:ind w:firstLine="0" w:firstLineChars="0"/>
              <w:jc w:val="center"/>
              <w:rPr>
                <w:sz w:val="21"/>
                <w:szCs w:val="21"/>
              </w:rPr>
            </w:pPr>
            <w:r>
              <w:rPr>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Borders>
              <w:top w:val="nil"/>
              <w:bottom w:val="nil"/>
              <w:right w:val="single" w:color="auto" w:sz="4" w:space="0"/>
            </w:tcBorders>
            <w:vAlign w:val="center"/>
          </w:tcPr>
          <w:p>
            <w:pPr>
              <w:pStyle w:val="8"/>
              <w:ind w:firstLine="0" w:firstLineChars="0"/>
              <w:rPr>
                <w:sz w:val="21"/>
                <w:szCs w:val="21"/>
              </w:rPr>
            </w:pPr>
            <w:r>
              <w:rPr>
                <w:sz w:val="21"/>
                <w:szCs w:val="21"/>
              </w:rPr>
              <w:t>不燃气体管</w:t>
            </w:r>
          </w:p>
        </w:tc>
        <w:tc>
          <w:tcPr>
            <w:tcW w:w="2427" w:type="dxa"/>
            <w:tcBorders>
              <w:top w:val="nil"/>
              <w:left w:val="single" w:color="auto" w:sz="4" w:space="0"/>
              <w:bottom w:val="nil"/>
              <w:right w:val="single" w:color="auto" w:sz="4" w:space="0"/>
            </w:tcBorders>
            <w:vAlign w:val="center"/>
          </w:tcPr>
          <w:p>
            <w:pPr>
              <w:pStyle w:val="8"/>
              <w:ind w:firstLine="0" w:firstLineChars="0"/>
              <w:jc w:val="center"/>
              <w:rPr>
                <w:sz w:val="21"/>
                <w:szCs w:val="21"/>
              </w:rPr>
            </w:pPr>
            <w:r>
              <w:rPr>
                <w:sz w:val="21"/>
                <w:szCs w:val="21"/>
              </w:rPr>
              <w:t>0.25</w:t>
            </w:r>
          </w:p>
        </w:tc>
        <w:tc>
          <w:tcPr>
            <w:tcW w:w="2843" w:type="dxa"/>
            <w:tcBorders>
              <w:top w:val="nil"/>
              <w:left w:val="single" w:color="auto" w:sz="4" w:space="0"/>
              <w:bottom w:val="nil"/>
            </w:tcBorders>
            <w:vAlign w:val="center"/>
          </w:tcPr>
          <w:p>
            <w:pPr>
              <w:pStyle w:val="8"/>
              <w:ind w:firstLine="0" w:firstLineChars="0"/>
              <w:jc w:val="center"/>
              <w:rPr>
                <w:sz w:val="21"/>
                <w:szCs w:val="21"/>
              </w:rPr>
            </w:pPr>
            <w:r>
              <w:rPr>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Borders>
              <w:top w:val="nil"/>
              <w:bottom w:val="nil"/>
              <w:right w:val="single" w:color="auto" w:sz="4" w:space="0"/>
            </w:tcBorders>
            <w:vAlign w:val="center"/>
          </w:tcPr>
          <w:p>
            <w:pPr>
              <w:pStyle w:val="8"/>
              <w:ind w:firstLine="0" w:firstLineChars="0"/>
              <w:rPr>
                <w:sz w:val="21"/>
                <w:szCs w:val="21"/>
              </w:rPr>
            </w:pPr>
            <w:r>
              <w:rPr>
                <w:sz w:val="21"/>
                <w:szCs w:val="21"/>
              </w:rPr>
              <w:t>燃气管、燃油管和氧气管</w:t>
            </w:r>
          </w:p>
        </w:tc>
        <w:tc>
          <w:tcPr>
            <w:tcW w:w="2427" w:type="dxa"/>
            <w:tcBorders>
              <w:top w:val="nil"/>
              <w:left w:val="single" w:color="auto" w:sz="4" w:space="0"/>
              <w:bottom w:val="nil"/>
              <w:right w:val="single" w:color="auto" w:sz="4" w:space="0"/>
            </w:tcBorders>
            <w:vAlign w:val="center"/>
          </w:tcPr>
          <w:p>
            <w:pPr>
              <w:pStyle w:val="8"/>
              <w:ind w:firstLine="0" w:firstLineChars="0"/>
              <w:jc w:val="center"/>
              <w:rPr>
                <w:sz w:val="21"/>
                <w:szCs w:val="21"/>
              </w:rPr>
            </w:pPr>
            <w:r>
              <w:rPr>
                <w:sz w:val="21"/>
                <w:szCs w:val="21"/>
              </w:rPr>
              <w:t>0.50</w:t>
            </w:r>
          </w:p>
        </w:tc>
        <w:tc>
          <w:tcPr>
            <w:tcW w:w="2843" w:type="dxa"/>
            <w:tcBorders>
              <w:top w:val="nil"/>
              <w:left w:val="single" w:color="auto" w:sz="4" w:space="0"/>
              <w:bottom w:val="nil"/>
            </w:tcBorders>
            <w:vAlign w:val="center"/>
          </w:tcPr>
          <w:p>
            <w:pPr>
              <w:pStyle w:val="8"/>
              <w:ind w:firstLine="0" w:firstLineChars="0"/>
              <w:jc w:val="center"/>
              <w:rPr>
                <w:sz w:val="21"/>
                <w:szCs w:val="21"/>
              </w:rPr>
            </w:pPr>
            <w:r>
              <w:rPr>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Borders>
              <w:top w:val="nil"/>
              <w:bottom w:val="nil"/>
              <w:right w:val="single" w:color="auto" w:sz="4" w:space="0"/>
            </w:tcBorders>
            <w:vAlign w:val="center"/>
          </w:tcPr>
          <w:p>
            <w:pPr>
              <w:pStyle w:val="8"/>
              <w:ind w:firstLine="0" w:firstLineChars="0"/>
              <w:rPr>
                <w:sz w:val="21"/>
                <w:szCs w:val="21"/>
              </w:rPr>
            </w:pPr>
            <w:r>
              <w:rPr>
                <w:sz w:val="21"/>
                <w:szCs w:val="21"/>
              </w:rPr>
              <w:t>滑触线</w:t>
            </w:r>
          </w:p>
        </w:tc>
        <w:tc>
          <w:tcPr>
            <w:tcW w:w="2427" w:type="dxa"/>
            <w:tcBorders>
              <w:top w:val="nil"/>
              <w:left w:val="single" w:color="auto" w:sz="4" w:space="0"/>
              <w:bottom w:val="nil"/>
              <w:right w:val="single" w:color="auto" w:sz="4" w:space="0"/>
            </w:tcBorders>
            <w:vAlign w:val="center"/>
          </w:tcPr>
          <w:p>
            <w:pPr>
              <w:pStyle w:val="8"/>
              <w:ind w:firstLine="0" w:firstLineChars="0"/>
              <w:jc w:val="center"/>
              <w:rPr>
                <w:sz w:val="21"/>
                <w:szCs w:val="21"/>
              </w:rPr>
            </w:pPr>
            <w:r>
              <w:rPr>
                <w:sz w:val="21"/>
                <w:szCs w:val="21"/>
              </w:rPr>
              <w:t>3.00</w:t>
            </w:r>
          </w:p>
        </w:tc>
        <w:tc>
          <w:tcPr>
            <w:tcW w:w="2843" w:type="dxa"/>
            <w:tcBorders>
              <w:top w:val="nil"/>
              <w:left w:val="single" w:color="auto" w:sz="4" w:space="0"/>
              <w:bottom w:val="nil"/>
            </w:tcBorders>
            <w:vAlign w:val="center"/>
          </w:tcPr>
          <w:p>
            <w:pPr>
              <w:pStyle w:val="8"/>
              <w:ind w:firstLine="0" w:firstLineChars="0"/>
              <w:jc w:val="center"/>
              <w:rPr>
                <w:sz w:val="21"/>
                <w:szCs w:val="21"/>
              </w:rPr>
            </w:pPr>
            <w:r>
              <w:rPr>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Borders>
              <w:top w:val="nil"/>
              <w:bottom w:val="nil"/>
              <w:right w:val="single" w:color="auto" w:sz="4" w:space="0"/>
            </w:tcBorders>
            <w:vAlign w:val="center"/>
          </w:tcPr>
          <w:p>
            <w:pPr>
              <w:pStyle w:val="8"/>
              <w:ind w:firstLine="0" w:firstLineChars="0"/>
              <w:rPr>
                <w:sz w:val="21"/>
                <w:szCs w:val="21"/>
              </w:rPr>
            </w:pPr>
            <w:r>
              <w:rPr>
                <w:sz w:val="21"/>
                <w:szCs w:val="21"/>
              </w:rPr>
              <w:t>裸导线</w:t>
            </w:r>
          </w:p>
        </w:tc>
        <w:tc>
          <w:tcPr>
            <w:tcW w:w="2427" w:type="dxa"/>
            <w:tcBorders>
              <w:top w:val="nil"/>
              <w:left w:val="single" w:color="auto" w:sz="4" w:space="0"/>
              <w:bottom w:val="nil"/>
              <w:right w:val="single" w:color="auto" w:sz="4" w:space="0"/>
            </w:tcBorders>
            <w:vAlign w:val="center"/>
          </w:tcPr>
          <w:p>
            <w:pPr>
              <w:pStyle w:val="8"/>
              <w:ind w:firstLine="0" w:firstLineChars="0"/>
              <w:jc w:val="center"/>
              <w:rPr>
                <w:sz w:val="21"/>
                <w:szCs w:val="21"/>
              </w:rPr>
            </w:pPr>
            <w:r>
              <w:rPr>
                <w:sz w:val="21"/>
                <w:szCs w:val="21"/>
              </w:rPr>
              <w:t>2.00</w:t>
            </w:r>
          </w:p>
        </w:tc>
        <w:tc>
          <w:tcPr>
            <w:tcW w:w="2843" w:type="dxa"/>
            <w:tcBorders>
              <w:top w:val="nil"/>
              <w:left w:val="single" w:color="auto" w:sz="4" w:space="0"/>
              <w:bottom w:val="nil"/>
            </w:tcBorders>
            <w:vAlign w:val="center"/>
          </w:tcPr>
          <w:p>
            <w:pPr>
              <w:pStyle w:val="8"/>
              <w:ind w:firstLine="0" w:firstLineChars="0"/>
              <w:jc w:val="center"/>
              <w:rPr>
                <w:sz w:val="21"/>
                <w:szCs w:val="21"/>
              </w:rPr>
            </w:pPr>
            <w:r>
              <w:rPr>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Borders>
              <w:top w:val="nil"/>
              <w:bottom w:val="nil"/>
              <w:right w:val="single" w:color="auto" w:sz="4" w:space="0"/>
            </w:tcBorders>
            <w:vAlign w:val="center"/>
          </w:tcPr>
          <w:p>
            <w:pPr>
              <w:pStyle w:val="8"/>
              <w:ind w:firstLine="0" w:firstLineChars="0"/>
              <w:rPr>
                <w:sz w:val="21"/>
                <w:szCs w:val="21"/>
              </w:rPr>
            </w:pPr>
            <w:r>
              <w:rPr>
                <w:sz w:val="21"/>
                <w:szCs w:val="21"/>
              </w:rPr>
              <w:t>绝缘导线和电气线路</w:t>
            </w:r>
          </w:p>
        </w:tc>
        <w:tc>
          <w:tcPr>
            <w:tcW w:w="2427" w:type="dxa"/>
            <w:tcBorders>
              <w:top w:val="nil"/>
              <w:left w:val="single" w:color="auto" w:sz="4" w:space="0"/>
              <w:bottom w:val="nil"/>
              <w:right w:val="single" w:color="auto" w:sz="4" w:space="0"/>
            </w:tcBorders>
            <w:vAlign w:val="center"/>
          </w:tcPr>
          <w:p>
            <w:pPr>
              <w:pStyle w:val="8"/>
              <w:ind w:firstLine="0" w:firstLineChars="0"/>
              <w:jc w:val="center"/>
              <w:rPr>
                <w:sz w:val="21"/>
                <w:szCs w:val="21"/>
              </w:rPr>
            </w:pPr>
            <w:r>
              <w:rPr>
                <w:sz w:val="21"/>
                <w:szCs w:val="21"/>
              </w:rPr>
              <w:t>1.00</w:t>
            </w:r>
          </w:p>
        </w:tc>
        <w:tc>
          <w:tcPr>
            <w:tcW w:w="2843" w:type="dxa"/>
            <w:tcBorders>
              <w:top w:val="nil"/>
              <w:left w:val="single" w:color="auto" w:sz="4" w:space="0"/>
              <w:bottom w:val="nil"/>
            </w:tcBorders>
            <w:vAlign w:val="center"/>
          </w:tcPr>
          <w:p>
            <w:pPr>
              <w:pStyle w:val="8"/>
              <w:ind w:firstLine="0" w:firstLineChars="0"/>
              <w:jc w:val="center"/>
              <w:rPr>
                <w:sz w:val="21"/>
                <w:szCs w:val="21"/>
              </w:rPr>
            </w:pPr>
            <w:r>
              <w:rPr>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Borders>
              <w:top w:val="nil"/>
              <w:bottom w:val="nil"/>
              <w:right w:val="single" w:color="auto" w:sz="4" w:space="0"/>
            </w:tcBorders>
            <w:vAlign w:val="center"/>
          </w:tcPr>
          <w:p>
            <w:pPr>
              <w:pStyle w:val="8"/>
              <w:ind w:firstLine="0" w:firstLineChars="0"/>
              <w:rPr>
                <w:sz w:val="21"/>
                <w:szCs w:val="21"/>
              </w:rPr>
            </w:pPr>
            <w:r>
              <w:rPr>
                <w:sz w:val="21"/>
                <w:szCs w:val="21"/>
              </w:rPr>
              <w:t>穿有导线的电线管</w:t>
            </w:r>
          </w:p>
        </w:tc>
        <w:tc>
          <w:tcPr>
            <w:tcW w:w="2427" w:type="dxa"/>
            <w:tcBorders>
              <w:top w:val="nil"/>
              <w:left w:val="single" w:color="auto" w:sz="4" w:space="0"/>
              <w:bottom w:val="nil"/>
              <w:right w:val="single" w:color="auto" w:sz="4" w:space="0"/>
            </w:tcBorders>
            <w:vAlign w:val="center"/>
          </w:tcPr>
          <w:p>
            <w:pPr>
              <w:pStyle w:val="8"/>
              <w:ind w:firstLine="0" w:firstLineChars="0"/>
              <w:jc w:val="center"/>
              <w:rPr>
                <w:sz w:val="21"/>
                <w:szCs w:val="21"/>
              </w:rPr>
            </w:pPr>
            <w:r>
              <w:rPr>
                <w:sz w:val="21"/>
                <w:szCs w:val="21"/>
              </w:rPr>
              <w:t>1.00</w:t>
            </w:r>
          </w:p>
        </w:tc>
        <w:tc>
          <w:tcPr>
            <w:tcW w:w="2843" w:type="dxa"/>
            <w:tcBorders>
              <w:top w:val="nil"/>
              <w:left w:val="single" w:color="auto" w:sz="4" w:space="0"/>
              <w:bottom w:val="nil"/>
            </w:tcBorders>
            <w:vAlign w:val="center"/>
          </w:tcPr>
          <w:p>
            <w:pPr>
              <w:pStyle w:val="8"/>
              <w:ind w:firstLine="0" w:firstLineChars="0"/>
              <w:jc w:val="center"/>
              <w:rPr>
                <w:sz w:val="21"/>
                <w:szCs w:val="21"/>
              </w:rPr>
            </w:pPr>
            <w:r>
              <w:rPr>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8" w:type="dxa"/>
            <w:tcBorders>
              <w:top w:val="nil"/>
              <w:right w:val="single" w:color="auto" w:sz="4" w:space="0"/>
            </w:tcBorders>
            <w:vAlign w:val="center"/>
          </w:tcPr>
          <w:p>
            <w:pPr>
              <w:pStyle w:val="8"/>
              <w:ind w:firstLine="0" w:firstLineChars="0"/>
              <w:rPr>
                <w:sz w:val="21"/>
                <w:szCs w:val="21"/>
              </w:rPr>
            </w:pPr>
            <w:r>
              <w:rPr>
                <w:sz w:val="21"/>
                <w:szCs w:val="21"/>
              </w:rPr>
              <w:t>插接式母线，悬挂干线</w:t>
            </w:r>
          </w:p>
        </w:tc>
        <w:tc>
          <w:tcPr>
            <w:tcW w:w="2427" w:type="dxa"/>
            <w:tcBorders>
              <w:top w:val="nil"/>
              <w:left w:val="single" w:color="auto" w:sz="4" w:space="0"/>
              <w:right w:val="single" w:color="auto" w:sz="4" w:space="0"/>
            </w:tcBorders>
            <w:vAlign w:val="center"/>
          </w:tcPr>
          <w:p>
            <w:pPr>
              <w:pStyle w:val="8"/>
              <w:ind w:firstLine="0" w:firstLineChars="0"/>
              <w:jc w:val="center"/>
              <w:rPr>
                <w:sz w:val="21"/>
                <w:szCs w:val="21"/>
              </w:rPr>
            </w:pPr>
            <w:r>
              <w:rPr>
                <w:sz w:val="21"/>
                <w:szCs w:val="21"/>
              </w:rPr>
              <w:t>3.00</w:t>
            </w:r>
          </w:p>
        </w:tc>
        <w:tc>
          <w:tcPr>
            <w:tcW w:w="2843" w:type="dxa"/>
            <w:tcBorders>
              <w:top w:val="nil"/>
              <w:left w:val="single" w:color="auto" w:sz="4" w:space="0"/>
            </w:tcBorders>
            <w:vAlign w:val="center"/>
          </w:tcPr>
          <w:p>
            <w:pPr>
              <w:pStyle w:val="8"/>
              <w:ind w:firstLine="0" w:firstLineChars="0"/>
              <w:jc w:val="center"/>
              <w:rPr>
                <w:sz w:val="21"/>
                <w:szCs w:val="21"/>
              </w:rPr>
            </w:pPr>
            <w:r>
              <w:rPr>
                <w:sz w:val="21"/>
                <w:szCs w:val="21"/>
              </w:rPr>
              <w:t>1.00</w:t>
            </w:r>
          </w:p>
        </w:tc>
      </w:tr>
    </w:tbl>
    <w:p>
      <w:pPr>
        <w:pStyle w:val="8"/>
        <w:ind w:firstLine="420"/>
        <w:rPr>
          <w:sz w:val="21"/>
          <w:szCs w:val="21"/>
        </w:rPr>
      </w:pPr>
      <w:r>
        <w:rPr>
          <w:sz w:val="21"/>
          <w:szCs w:val="21"/>
        </w:rPr>
        <w:t>注：1氢气管道上的阀门、法兰及其它机械接头（如焊接点等），在错开一定距离的条件下，其最小平行净距可减小到0.25m。</w:t>
      </w:r>
    </w:p>
    <w:p>
      <w:pPr>
        <w:pStyle w:val="8"/>
        <w:ind w:firstLine="840" w:firstLineChars="400"/>
        <w:rPr>
          <w:sz w:val="21"/>
          <w:szCs w:val="21"/>
        </w:rPr>
      </w:pPr>
      <w:r>
        <w:rPr>
          <w:sz w:val="21"/>
          <w:szCs w:val="21"/>
        </w:rPr>
        <w:t>2同一使用目的的氢气管道与氧气管道并行敷设时，最小并行净距可减少到0.25m。</w:t>
      </w:r>
    </w:p>
    <w:p>
      <w:pPr>
        <w:pStyle w:val="8"/>
        <w:ind w:firstLine="0" w:firstLineChars="0"/>
        <w:jc w:val="center"/>
        <w:outlineLvl w:val="0"/>
        <w:rPr>
          <w:sz w:val="30"/>
          <w:szCs w:val="30"/>
        </w:rPr>
      </w:pPr>
      <w:r>
        <w:br w:type="page"/>
      </w:r>
      <w:bookmarkStart w:id="26" w:name="_Toc108940948"/>
      <w:r>
        <w:rPr>
          <w:sz w:val="30"/>
          <w:szCs w:val="30"/>
        </w:rPr>
        <w:t>附录C  室外架空氢气管道与建筑物、构筑物之间的最小净距</w:t>
      </w:r>
      <w:bookmarkEnd w:id="26"/>
    </w:p>
    <w:p>
      <w:pPr>
        <w:pStyle w:val="8"/>
      </w:pPr>
    </w:p>
    <w:p>
      <w:pPr>
        <w:pStyle w:val="8"/>
        <w:ind w:firstLine="0" w:firstLineChars="0"/>
        <w:jc w:val="center"/>
        <w:rPr>
          <w:sz w:val="21"/>
          <w:szCs w:val="21"/>
        </w:rPr>
      </w:pPr>
      <w:r>
        <w:rPr>
          <w:sz w:val="21"/>
          <w:szCs w:val="21"/>
        </w:rPr>
        <w:t>表C 室外架空氢气管道与建筑物、构筑物之间的最小净距（m）</w:t>
      </w:r>
    </w:p>
    <w:tbl>
      <w:tblPr>
        <w:tblStyle w:val="17"/>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8"/>
        <w:gridCol w:w="2126"/>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pStyle w:val="8"/>
              <w:ind w:firstLine="0" w:firstLineChars="0"/>
              <w:jc w:val="center"/>
              <w:rPr>
                <w:b/>
                <w:bCs/>
                <w:sz w:val="21"/>
                <w:szCs w:val="21"/>
              </w:rPr>
            </w:pPr>
            <w:r>
              <w:rPr>
                <w:b/>
                <w:bCs/>
                <w:sz w:val="21"/>
                <w:szCs w:val="21"/>
              </w:rPr>
              <w:t>名           称</w:t>
            </w:r>
          </w:p>
        </w:tc>
        <w:tc>
          <w:tcPr>
            <w:tcW w:w="2126" w:type="dxa"/>
          </w:tcPr>
          <w:p>
            <w:pPr>
              <w:pStyle w:val="8"/>
              <w:ind w:firstLine="0" w:firstLineChars="0"/>
              <w:jc w:val="center"/>
              <w:rPr>
                <w:b/>
                <w:bCs/>
                <w:sz w:val="21"/>
                <w:szCs w:val="21"/>
              </w:rPr>
            </w:pPr>
            <w:r>
              <w:rPr>
                <w:b/>
                <w:bCs/>
                <w:sz w:val="21"/>
                <w:szCs w:val="21"/>
              </w:rPr>
              <w:t>平行净距</w:t>
            </w:r>
          </w:p>
        </w:tc>
        <w:tc>
          <w:tcPr>
            <w:tcW w:w="2330" w:type="dxa"/>
          </w:tcPr>
          <w:p>
            <w:pPr>
              <w:pStyle w:val="8"/>
              <w:ind w:firstLine="0" w:firstLineChars="0"/>
              <w:jc w:val="center"/>
              <w:rPr>
                <w:b/>
                <w:bCs/>
                <w:sz w:val="21"/>
                <w:szCs w:val="21"/>
              </w:rPr>
            </w:pPr>
            <w:r>
              <w:rPr>
                <w:b/>
                <w:bCs/>
                <w:sz w:val="21"/>
                <w:szCs w:val="21"/>
              </w:rPr>
              <w:t>交叉净距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pStyle w:val="8"/>
              <w:ind w:firstLine="0" w:firstLineChars="0"/>
              <w:rPr>
                <w:sz w:val="21"/>
                <w:szCs w:val="21"/>
              </w:rPr>
            </w:pPr>
            <w:r>
              <w:rPr>
                <w:sz w:val="21"/>
                <w:szCs w:val="21"/>
              </w:rPr>
              <w:t>建筑物有门窗的墙壁外边或突出部分外边</w:t>
            </w:r>
          </w:p>
        </w:tc>
        <w:tc>
          <w:tcPr>
            <w:tcW w:w="2126" w:type="dxa"/>
          </w:tcPr>
          <w:p>
            <w:pPr>
              <w:pStyle w:val="8"/>
              <w:ind w:firstLine="0" w:firstLineChars="0"/>
              <w:rPr>
                <w:sz w:val="21"/>
                <w:szCs w:val="21"/>
              </w:rPr>
            </w:pPr>
            <w:r>
              <w:rPr>
                <w:sz w:val="21"/>
                <w:szCs w:val="21"/>
              </w:rPr>
              <w:t>3.0</w:t>
            </w:r>
          </w:p>
        </w:tc>
        <w:tc>
          <w:tcPr>
            <w:tcW w:w="2330" w:type="dxa"/>
          </w:tcPr>
          <w:p>
            <w:pPr>
              <w:pStyle w:val="8"/>
              <w:ind w:firstLine="0" w:firstLineChars="0"/>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pStyle w:val="8"/>
              <w:ind w:firstLine="0" w:firstLineChars="0"/>
              <w:rPr>
                <w:sz w:val="21"/>
                <w:szCs w:val="21"/>
              </w:rPr>
            </w:pPr>
            <w:r>
              <w:rPr>
                <w:sz w:val="21"/>
                <w:szCs w:val="21"/>
              </w:rPr>
              <w:t>建筑物无门窗的墙壁外边或突出部分外边</w:t>
            </w:r>
          </w:p>
        </w:tc>
        <w:tc>
          <w:tcPr>
            <w:tcW w:w="2126" w:type="dxa"/>
          </w:tcPr>
          <w:p>
            <w:pPr>
              <w:pStyle w:val="8"/>
              <w:ind w:firstLine="0" w:firstLineChars="0"/>
              <w:rPr>
                <w:sz w:val="21"/>
                <w:szCs w:val="21"/>
              </w:rPr>
            </w:pPr>
            <w:r>
              <w:rPr>
                <w:sz w:val="21"/>
                <w:szCs w:val="21"/>
              </w:rPr>
              <w:t>1.5</w:t>
            </w:r>
          </w:p>
        </w:tc>
        <w:tc>
          <w:tcPr>
            <w:tcW w:w="2330" w:type="dxa"/>
          </w:tcPr>
          <w:p>
            <w:pPr>
              <w:pStyle w:val="8"/>
              <w:ind w:firstLine="0" w:firstLineChars="0"/>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pStyle w:val="8"/>
              <w:ind w:firstLine="0" w:firstLineChars="0"/>
              <w:rPr>
                <w:sz w:val="21"/>
                <w:szCs w:val="21"/>
              </w:rPr>
            </w:pPr>
            <w:r>
              <w:rPr>
                <w:sz w:val="21"/>
                <w:szCs w:val="21"/>
              </w:rPr>
              <w:t>非电气化铁路钢轨</w:t>
            </w:r>
          </w:p>
        </w:tc>
        <w:tc>
          <w:tcPr>
            <w:tcW w:w="2126" w:type="dxa"/>
          </w:tcPr>
          <w:p>
            <w:pPr>
              <w:pStyle w:val="8"/>
              <w:ind w:firstLine="0" w:firstLineChars="0"/>
              <w:rPr>
                <w:sz w:val="21"/>
                <w:szCs w:val="21"/>
              </w:rPr>
            </w:pPr>
            <w:r>
              <w:rPr>
                <w:sz w:val="21"/>
                <w:szCs w:val="21"/>
              </w:rPr>
              <w:t>3.0（距轨外侧）</w:t>
            </w:r>
          </w:p>
        </w:tc>
        <w:tc>
          <w:tcPr>
            <w:tcW w:w="2330" w:type="dxa"/>
          </w:tcPr>
          <w:p>
            <w:pPr>
              <w:pStyle w:val="8"/>
              <w:ind w:firstLine="0" w:firstLineChars="0"/>
              <w:rPr>
                <w:sz w:val="21"/>
                <w:szCs w:val="21"/>
              </w:rPr>
            </w:pPr>
            <w:r>
              <w:rPr>
                <w:sz w:val="21"/>
                <w:szCs w:val="21"/>
              </w:rPr>
              <w:t>6.0</w:t>
            </w:r>
            <w:r>
              <w:rPr>
                <w:rFonts w:hint="eastAsia"/>
                <w:sz w:val="21"/>
                <w:szCs w:val="21"/>
              </w:rPr>
              <w:t>（</w:t>
            </w:r>
            <w:r>
              <w:rPr>
                <w:sz w:val="21"/>
                <w:szCs w:val="21"/>
              </w:rPr>
              <w:t>距轨面</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pStyle w:val="8"/>
              <w:ind w:firstLine="0" w:firstLineChars="0"/>
              <w:rPr>
                <w:sz w:val="21"/>
                <w:szCs w:val="21"/>
              </w:rPr>
            </w:pPr>
            <w:r>
              <w:rPr>
                <w:sz w:val="21"/>
                <w:szCs w:val="21"/>
              </w:rPr>
              <w:t>电气化铁路钢轨</w:t>
            </w:r>
          </w:p>
        </w:tc>
        <w:tc>
          <w:tcPr>
            <w:tcW w:w="2126" w:type="dxa"/>
          </w:tcPr>
          <w:p>
            <w:pPr>
              <w:pStyle w:val="8"/>
              <w:ind w:firstLine="0" w:firstLineChars="0"/>
              <w:rPr>
                <w:sz w:val="21"/>
                <w:szCs w:val="21"/>
              </w:rPr>
            </w:pPr>
            <w:r>
              <w:rPr>
                <w:sz w:val="21"/>
                <w:szCs w:val="21"/>
              </w:rPr>
              <w:t>3.0（距轨外侧）</w:t>
            </w:r>
          </w:p>
        </w:tc>
        <w:tc>
          <w:tcPr>
            <w:tcW w:w="2330" w:type="dxa"/>
          </w:tcPr>
          <w:p>
            <w:pPr>
              <w:pStyle w:val="8"/>
              <w:ind w:firstLine="0" w:firstLineChars="0"/>
              <w:rPr>
                <w:sz w:val="21"/>
                <w:szCs w:val="21"/>
              </w:rPr>
            </w:pPr>
            <w:r>
              <w:rPr>
                <w:sz w:val="21"/>
                <w:szCs w:val="21"/>
              </w:rPr>
              <w:t>6.55</w:t>
            </w:r>
            <w:r>
              <w:rPr>
                <w:rFonts w:hint="eastAsia"/>
                <w:sz w:val="21"/>
                <w:szCs w:val="21"/>
              </w:rPr>
              <w:t>（</w:t>
            </w:r>
            <w:r>
              <w:rPr>
                <w:sz w:val="21"/>
                <w:szCs w:val="21"/>
              </w:rPr>
              <w:t>距轨面</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pStyle w:val="8"/>
              <w:ind w:firstLine="0" w:firstLineChars="0"/>
              <w:rPr>
                <w:sz w:val="21"/>
                <w:szCs w:val="21"/>
              </w:rPr>
            </w:pPr>
            <w:r>
              <w:rPr>
                <w:sz w:val="21"/>
                <w:szCs w:val="21"/>
              </w:rPr>
              <w:t>道路</w:t>
            </w:r>
          </w:p>
        </w:tc>
        <w:tc>
          <w:tcPr>
            <w:tcW w:w="2126" w:type="dxa"/>
          </w:tcPr>
          <w:p>
            <w:pPr>
              <w:pStyle w:val="8"/>
              <w:ind w:firstLine="0" w:firstLineChars="0"/>
              <w:rPr>
                <w:sz w:val="21"/>
                <w:szCs w:val="21"/>
              </w:rPr>
            </w:pPr>
            <w:r>
              <w:rPr>
                <w:sz w:val="21"/>
                <w:szCs w:val="21"/>
              </w:rPr>
              <w:t>1.0</w:t>
            </w:r>
          </w:p>
        </w:tc>
        <w:tc>
          <w:tcPr>
            <w:tcW w:w="2330" w:type="dxa"/>
          </w:tcPr>
          <w:p>
            <w:pPr>
              <w:pStyle w:val="8"/>
              <w:ind w:firstLine="0" w:firstLineChars="0"/>
              <w:rPr>
                <w:sz w:val="21"/>
                <w:szCs w:val="21"/>
              </w:rPr>
            </w:pPr>
            <w:r>
              <w:rPr>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pStyle w:val="8"/>
              <w:ind w:firstLine="0" w:firstLineChars="0"/>
              <w:rPr>
                <w:sz w:val="21"/>
                <w:szCs w:val="21"/>
              </w:rPr>
            </w:pPr>
            <w:r>
              <w:rPr>
                <w:sz w:val="21"/>
                <w:szCs w:val="21"/>
              </w:rPr>
              <w:t>人行道</w:t>
            </w:r>
          </w:p>
        </w:tc>
        <w:tc>
          <w:tcPr>
            <w:tcW w:w="2126" w:type="dxa"/>
          </w:tcPr>
          <w:p>
            <w:pPr>
              <w:pStyle w:val="8"/>
              <w:ind w:firstLine="0" w:firstLineChars="0"/>
              <w:rPr>
                <w:sz w:val="21"/>
                <w:szCs w:val="21"/>
              </w:rPr>
            </w:pPr>
            <w:r>
              <w:rPr>
                <w:sz w:val="21"/>
                <w:szCs w:val="21"/>
              </w:rPr>
              <w:t>1.5</w:t>
            </w:r>
            <w:r>
              <w:rPr>
                <w:rFonts w:hint="eastAsia"/>
                <w:sz w:val="21"/>
                <w:szCs w:val="21"/>
              </w:rPr>
              <w:t>（</w:t>
            </w:r>
            <w:r>
              <w:rPr>
                <w:sz w:val="21"/>
                <w:szCs w:val="21"/>
              </w:rPr>
              <w:t>距相邻侧路边</w:t>
            </w:r>
            <w:r>
              <w:rPr>
                <w:rFonts w:hint="eastAsia"/>
                <w:sz w:val="21"/>
                <w:szCs w:val="21"/>
              </w:rPr>
              <w:t>）</w:t>
            </w:r>
          </w:p>
        </w:tc>
        <w:tc>
          <w:tcPr>
            <w:tcW w:w="2330" w:type="dxa"/>
          </w:tcPr>
          <w:p>
            <w:pPr>
              <w:pStyle w:val="8"/>
              <w:ind w:firstLine="0" w:firstLineChars="0"/>
              <w:rPr>
                <w:sz w:val="21"/>
                <w:szCs w:val="21"/>
              </w:rPr>
            </w:pPr>
            <w:r>
              <w:rPr>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pStyle w:val="8"/>
              <w:ind w:firstLine="0" w:firstLineChars="0"/>
              <w:rPr>
                <w:sz w:val="21"/>
                <w:szCs w:val="21"/>
              </w:rPr>
            </w:pPr>
            <w:r>
              <w:rPr>
                <w:sz w:val="21"/>
                <w:szCs w:val="21"/>
              </w:rPr>
              <w:t>厂区围墙（中心线）</w:t>
            </w:r>
          </w:p>
        </w:tc>
        <w:tc>
          <w:tcPr>
            <w:tcW w:w="2126" w:type="dxa"/>
          </w:tcPr>
          <w:p>
            <w:pPr>
              <w:pStyle w:val="8"/>
              <w:ind w:firstLine="0" w:firstLineChars="0"/>
              <w:rPr>
                <w:sz w:val="21"/>
                <w:szCs w:val="21"/>
              </w:rPr>
            </w:pPr>
            <w:r>
              <w:rPr>
                <w:sz w:val="21"/>
                <w:szCs w:val="21"/>
              </w:rPr>
              <w:t>1.0</w:t>
            </w:r>
          </w:p>
        </w:tc>
        <w:tc>
          <w:tcPr>
            <w:tcW w:w="2330" w:type="dxa"/>
          </w:tcPr>
          <w:p>
            <w:pPr>
              <w:pStyle w:val="8"/>
              <w:ind w:firstLine="0" w:firstLineChars="0"/>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pStyle w:val="8"/>
              <w:ind w:firstLine="0" w:firstLineChars="0"/>
              <w:rPr>
                <w:sz w:val="21"/>
                <w:szCs w:val="21"/>
              </w:rPr>
            </w:pPr>
            <w:r>
              <w:rPr>
                <w:sz w:val="21"/>
                <w:szCs w:val="21"/>
              </w:rPr>
              <w:t>照明、电信杆、柱中心</w:t>
            </w:r>
          </w:p>
        </w:tc>
        <w:tc>
          <w:tcPr>
            <w:tcW w:w="2126" w:type="dxa"/>
          </w:tcPr>
          <w:p>
            <w:pPr>
              <w:pStyle w:val="8"/>
              <w:ind w:firstLine="0" w:firstLineChars="0"/>
              <w:rPr>
                <w:sz w:val="21"/>
                <w:szCs w:val="21"/>
              </w:rPr>
            </w:pPr>
            <w:r>
              <w:rPr>
                <w:sz w:val="21"/>
                <w:szCs w:val="21"/>
              </w:rPr>
              <w:t>1.0</w:t>
            </w:r>
          </w:p>
        </w:tc>
        <w:tc>
          <w:tcPr>
            <w:tcW w:w="2330" w:type="dxa"/>
          </w:tcPr>
          <w:p>
            <w:pPr>
              <w:pStyle w:val="8"/>
              <w:ind w:firstLine="0" w:firstLineChars="0"/>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tcPr>
          <w:p>
            <w:pPr>
              <w:pStyle w:val="8"/>
              <w:ind w:firstLine="0" w:firstLineChars="0"/>
              <w:rPr>
                <w:sz w:val="21"/>
                <w:szCs w:val="21"/>
              </w:rPr>
            </w:pPr>
            <w:r>
              <w:rPr>
                <w:sz w:val="21"/>
                <w:szCs w:val="21"/>
              </w:rPr>
              <w:t>散发火花及明火地点</w:t>
            </w:r>
          </w:p>
        </w:tc>
        <w:tc>
          <w:tcPr>
            <w:tcW w:w="2126" w:type="dxa"/>
          </w:tcPr>
          <w:p>
            <w:pPr>
              <w:pStyle w:val="8"/>
              <w:ind w:firstLine="0" w:firstLineChars="0"/>
              <w:rPr>
                <w:sz w:val="21"/>
                <w:szCs w:val="21"/>
              </w:rPr>
            </w:pPr>
            <w:r>
              <w:rPr>
                <w:sz w:val="21"/>
                <w:szCs w:val="21"/>
              </w:rPr>
              <w:t>10.0</w:t>
            </w:r>
          </w:p>
        </w:tc>
        <w:tc>
          <w:tcPr>
            <w:tcW w:w="2330" w:type="dxa"/>
          </w:tcPr>
          <w:p>
            <w:pPr>
              <w:pStyle w:val="8"/>
              <w:ind w:firstLine="0" w:firstLineChars="0"/>
              <w:rPr>
                <w:sz w:val="21"/>
                <w:szCs w:val="21"/>
              </w:rPr>
            </w:pPr>
            <w:r>
              <w:rPr>
                <w:rFonts w:hint="eastAsia"/>
                <w:sz w:val="21"/>
                <w:szCs w:val="21"/>
              </w:rPr>
              <w:t>-</w:t>
            </w:r>
          </w:p>
        </w:tc>
      </w:tr>
    </w:tbl>
    <w:p>
      <w:pPr>
        <w:pStyle w:val="8"/>
        <w:spacing w:line="320" w:lineRule="exact"/>
        <w:ind w:firstLine="420"/>
        <w:rPr>
          <w:sz w:val="21"/>
          <w:szCs w:val="21"/>
        </w:rPr>
      </w:pPr>
      <w:r>
        <w:rPr>
          <w:sz w:val="21"/>
          <w:szCs w:val="21"/>
        </w:rPr>
        <w:t>注：1氢气管道沿氢气站、供氢站或使用氢气的建筑物外墙敷设时，平行净距不受本表限制。但氢气管道不得采用法兰、螺纹连接。</w:t>
      </w:r>
    </w:p>
    <w:p>
      <w:pPr>
        <w:pStyle w:val="8"/>
        <w:spacing w:line="320" w:lineRule="exact"/>
        <w:ind w:firstLine="840" w:firstLineChars="400"/>
        <w:rPr>
          <w:sz w:val="21"/>
          <w:szCs w:val="21"/>
        </w:rPr>
      </w:pPr>
      <w:r>
        <w:rPr>
          <w:sz w:val="21"/>
          <w:szCs w:val="21"/>
        </w:rPr>
        <w:t>2与架空电力线路的距离，应符合现行国家标准《</w:t>
      </w:r>
      <w:r>
        <w:rPr>
          <w:rFonts w:hint="eastAsia"/>
          <w:sz w:val="21"/>
          <w:szCs w:val="21"/>
        </w:rPr>
        <w:t>6</w:t>
      </w:r>
      <w:r>
        <w:rPr>
          <w:sz w:val="21"/>
          <w:szCs w:val="21"/>
        </w:rPr>
        <w:t>6kV及以下架空电力线路设计规范》</w:t>
      </w:r>
      <w:r>
        <w:rPr>
          <w:rFonts w:hint="eastAsia"/>
          <w:sz w:val="21"/>
          <w:szCs w:val="21"/>
        </w:rPr>
        <w:t>GB50061</w:t>
      </w:r>
      <w:r>
        <w:rPr>
          <w:sz w:val="21"/>
          <w:szCs w:val="21"/>
        </w:rPr>
        <w:t>的规定。</w:t>
      </w:r>
    </w:p>
    <w:p>
      <w:pPr>
        <w:pStyle w:val="8"/>
        <w:spacing w:line="320" w:lineRule="exact"/>
        <w:ind w:firstLine="840" w:firstLineChars="400"/>
        <w:rPr>
          <w:sz w:val="21"/>
          <w:szCs w:val="21"/>
        </w:rPr>
      </w:pPr>
      <w:r>
        <w:rPr>
          <w:sz w:val="21"/>
          <w:szCs w:val="21"/>
        </w:rPr>
        <w:t>3有大件运输要求或在检修期间有大型起吊设施通过的道路，其交叉净距应根据需要确定。</w:t>
      </w:r>
    </w:p>
    <w:p>
      <w:pPr>
        <w:pStyle w:val="8"/>
        <w:spacing w:line="320" w:lineRule="exact"/>
        <w:ind w:firstLine="840" w:firstLineChars="400"/>
        <w:rPr>
          <w:sz w:val="21"/>
          <w:szCs w:val="21"/>
        </w:rPr>
      </w:pPr>
      <w:r>
        <w:rPr>
          <w:sz w:val="21"/>
          <w:szCs w:val="21"/>
        </w:rPr>
        <w:t>4当氢气管道在管架上敷设时，平行净距应从管架最近外侧算起。</w:t>
      </w:r>
    </w:p>
    <w:p>
      <w:pPr>
        <w:pStyle w:val="8"/>
        <w:ind w:firstLine="0" w:firstLineChars="0"/>
        <w:jc w:val="center"/>
        <w:outlineLvl w:val="0"/>
        <w:rPr>
          <w:sz w:val="30"/>
          <w:szCs w:val="30"/>
        </w:rPr>
      </w:pPr>
      <w:r>
        <w:br w:type="page"/>
      </w:r>
      <w:bookmarkStart w:id="27" w:name="_Toc108940949"/>
      <w:r>
        <w:rPr>
          <w:sz w:val="30"/>
          <w:szCs w:val="30"/>
        </w:rPr>
        <w:t>附录D  室外直接埋地氢气管道与</w:t>
      </w:r>
      <w:bookmarkEnd w:id="27"/>
    </w:p>
    <w:p>
      <w:pPr>
        <w:pStyle w:val="8"/>
        <w:ind w:firstLine="0" w:firstLineChars="0"/>
        <w:jc w:val="center"/>
        <w:outlineLvl w:val="0"/>
        <w:rPr>
          <w:sz w:val="30"/>
          <w:szCs w:val="30"/>
        </w:rPr>
      </w:pPr>
      <w:bookmarkStart w:id="28" w:name="_Toc108940950"/>
      <w:r>
        <w:rPr>
          <w:sz w:val="30"/>
          <w:szCs w:val="30"/>
        </w:rPr>
        <w:t>其它埋地管线</w:t>
      </w:r>
      <w:r>
        <w:rPr>
          <w:rFonts w:hint="eastAsia"/>
          <w:sz w:val="30"/>
          <w:szCs w:val="30"/>
        </w:rPr>
        <w:t>、</w:t>
      </w:r>
      <w:r>
        <w:rPr>
          <w:sz w:val="30"/>
          <w:szCs w:val="30"/>
        </w:rPr>
        <w:t>建筑物</w:t>
      </w:r>
      <w:r>
        <w:rPr>
          <w:rFonts w:hint="eastAsia"/>
          <w:sz w:val="30"/>
          <w:szCs w:val="30"/>
        </w:rPr>
        <w:t>、</w:t>
      </w:r>
      <w:r>
        <w:rPr>
          <w:sz w:val="30"/>
          <w:szCs w:val="30"/>
        </w:rPr>
        <w:t>构筑物之间的最小净距</w:t>
      </w:r>
      <w:bookmarkEnd w:id="28"/>
    </w:p>
    <w:p>
      <w:pPr>
        <w:pStyle w:val="8"/>
      </w:pPr>
    </w:p>
    <w:p>
      <w:pPr>
        <w:pStyle w:val="8"/>
        <w:ind w:firstLine="0" w:firstLineChars="0"/>
        <w:jc w:val="center"/>
        <w:rPr>
          <w:sz w:val="21"/>
          <w:szCs w:val="21"/>
        </w:rPr>
      </w:pPr>
      <w:r>
        <w:rPr>
          <w:sz w:val="21"/>
          <w:szCs w:val="21"/>
        </w:rPr>
        <w:t>表D 室外直接埋地氢气管道与其他埋地管线</w:t>
      </w:r>
      <w:r>
        <w:rPr>
          <w:rFonts w:hint="eastAsia"/>
          <w:sz w:val="21"/>
          <w:szCs w:val="21"/>
        </w:rPr>
        <w:t>、</w:t>
      </w:r>
      <w:r>
        <w:rPr>
          <w:sz w:val="21"/>
          <w:szCs w:val="21"/>
        </w:rPr>
        <w:t>建筑物</w:t>
      </w:r>
      <w:r>
        <w:rPr>
          <w:rFonts w:hint="eastAsia"/>
          <w:sz w:val="21"/>
          <w:szCs w:val="21"/>
        </w:rPr>
        <w:t>、</w:t>
      </w:r>
      <w:r>
        <w:rPr>
          <w:sz w:val="21"/>
          <w:szCs w:val="21"/>
        </w:rPr>
        <w:t>构筑物之间的最小净距（m）</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119"/>
        <w:gridCol w:w="2162"/>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b/>
                <w:bCs/>
                <w:sz w:val="21"/>
                <w:szCs w:val="21"/>
              </w:rPr>
            </w:pPr>
            <w:r>
              <w:rPr>
                <w:b/>
                <w:bCs/>
                <w:sz w:val="21"/>
                <w:szCs w:val="21"/>
              </w:rPr>
              <w:t>序号</w:t>
            </w:r>
          </w:p>
        </w:tc>
        <w:tc>
          <w:tcPr>
            <w:tcW w:w="3119" w:type="dxa"/>
          </w:tcPr>
          <w:p>
            <w:pPr>
              <w:pStyle w:val="8"/>
              <w:spacing w:line="320" w:lineRule="atLeast"/>
              <w:ind w:firstLine="0" w:firstLineChars="0"/>
              <w:jc w:val="center"/>
              <w:rPr>
                <w:b/>
                <w:bCs/>
                <w:sz w:val="21"/>
                <w:szCs w:val="21"/>
              </w:rPr>
            </w:pPr>
            <w:r>
              <w:rPr>
                <w:b/>
                <w:bCs/>
                <w:sz w:val="21"/>
                <w:szCs w:val="21"/>
              </w:rPr>
              <w:t>名     称</w:t>
            </w:r>
          </w:p>
        </w:tc>
        <w:tc>
          <w:tcPr>
            <w:tcW w:w="2162" w:type="dxa"/>
          </w:tcPr>
          <w:p>
            <w:pPr>
              <w:pStyle w:val="8"/>
              <w:spacing w:line="320" w:lineRule="atLeast"/>
              <w:ind w:firstLine="0" w:firstLineChars="0"/>
              <w:jc w:val="center"/>
              <w:rPr>
                <w:b/>
                <w:bCs/>
                <w:sz w:val="21"/>
                <w:szCs w:val="21"/>
              </w:rPr>
            </w:pPr>
            <w:r>
              <w:rPr>
                <w:b/>
                <w:bCs/>
                <w:sz w:val="21"/>
                <w:szCs w:val="21"/>
              </w:rPr>
              <w:t>平行净距</w:t>
            </w:r>
          </w:p>
        </w:tc>
        <w:tc>
          <w:tcPr>
            <w:tcW w:w="1879" w:type="dxa"/>
          </w:tcPr>
          <w:p>
            <w:pPr>
              <w:pStyle w:val="8"/>
              <w:spacing w:line="320" w:lineRule="atLeast"/>
              <w:ind w:firstLine="0" w:firstLineChars="0"/>
              <w:jc w:val="center"/>
              <w:rPr>
                <w:b/>
                <w:bCs/>
                <w:sz w:val="21"/>
                <w:szCs w:val="21"/>
              </w:rPr>
            </w:pPr>
            <w:r>
              <w:rPr>
                <w:b/>
                <w:bCs/>
                <w:sz w:val="21"/>
                <w:szCs w:val="21"/>
              </w:rPr>
              <w:t>交叉净距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1</w:t>
            </w:r>
          </w:p>
        </w:tc>
        <w:tc>
          <w:tcPr>
            <w:tcW w:w="3119" w:type="dxa"/>
          </w:tcPr>
          <w:p>
            <w:pPr>
              <w:pStyle w:val="8"/>
              <w:spacing w:line="320" w:lineRule="atLeast"/>
              <w:ind w:firstLine="0" w:firstLineChars="0"/>
              <w:rPr>
                <w:sz w:val="21"/>
                <w:szCs w:val="21"/>
              </w:rPr>
            </w:pPr>
            <w:r>
              <w:rPr>
                <w:sz w:val="21"/>
                <w:szCs w:val="21"/>
              </w:rPr>
              <w:t>给水管直径：</w:t>
            </w:r>
          </w:p>
          <w:p>
            <w:pPr>
              <w:pStyle w:val="8"/>
              <w:spacing w:line="320" w:lineRule="atLeast"/>
              <w:ind w:firstLine="487" w:firstLineChars="232"/>
              <w:rPr>
                <w:sz w:val="21"/>
                <w:szCs w:val="21"/>
              </w:rPr>
            </w:pPr>
            <w:r>
              <w:rPr>
                <w:sz w:val="21"/>
                <w:szCs w:val="21"/>
              </w:rPr>
              <w:t>&lt;75mm</w:t>
            </w:r>
          </w:p>
          <w:p>
            <w:pPr>
              <w:pStyle w:val="8"/>
              <w:spacing w:line="320" w:lineRule="atLeast"/>
              <w:ind w:firstLine="487" w:firstLineChars="232"/>
              <w:rPr>
                <w:sz w:val="21"/>
                <w:szCs w:val="21"/>
              </w:rPr>
            </w:pPr>
            <w:r>
              <w:rPr>
                <w:sz w:val="21"/>
                <w:szCs w:val="21"/>
              </w:rPr>
              <w:t>75～150mm</w:t>
            </w:r>
          </w:p>
          <w:p>
            <w:pPr>
              <w:pStyle w:val="8"/>
              <w:spacing w:line="320" w:lineRule="atLeast"/>
              <w:ind w:firstLine="487" w:firstLineChars="232"/>
              <w:rPr>
                <w:sz w:val="21"/>
                <w:szCs w:val="21"/>
              </w:rPr>
            </w:pPr>
            <w:r>
              <w:rPr>
                <w:sz w:val="21"/>
                <w:szCs w:val="21"/>
              </w:rPr>
              <w:t>200～400mm</w:t>
            </w:r>
          </w:p>
          <w:p>
            <w:pPr>
              <w:pStyle w:val="8"/>
              <w:spacing w:line="320" w:lineRule="atLeast"/>
              <w:ind w:firstLine="487" w:firstLineChars="232"/>
              <w:rPr>
                <w:sz w:val="21"/>
                <w:szCs w:val="21"/>
              </w:rPr>
            </w:pPr>
            <w:r>
              <w:rPr>
                <w:sz w:val="21"/>
                <w:szCs w:val="21"/>
              </w:rPr>
              <w:t>&gt;400mm</w:t>
            </w:r>
          </w:p>
        </w:tc>
        <w:tc>
          <w:tcPr>
            <w:tcW w:w="2162" w:type="dxa"/>
            <w:vAlign w:val="center"/>
          </w:tcPr>
          <w:p>
            <w:pPr>
              <w:pStyle w:val="8"/>
              <w:spacing w:line="320" w:lineRule="atLeast"/>
              <w:ind w:firstLine="0" w:firstLineChars="0"/>
              <w:jc w:val="center"/>
              <w:rPr>
                <w:sz w:val="21"/>
                <w:szCs w:val="21"/>
              </w:rPr>
            </w:pPr>
          </w:p>
          <w:p>
            <w:pPr>
              <w:pStyle w:val="8"/>
              <w:spacing w:line="320" w:lineRule="atLeast"/>
              <w:ind w:firstLine="0" w:firstLineChars="0"/>
              <w:jc w:val="center"/>
              <w:rPr>
                <w:sz w:val="21"/>
                <w:szCs w:val="21"/>
              </w:rPr>
            </w:pPr>
            <w:r>
              <w:rPr>
                <w:sz w:val="21"/>
                <w:szCs w:val="21"/>
              </w:rPr>
              <w:t>0.8</w:t>
            </w:r>
          </w:p>
          <w:p>
            <w:pPr>
              <w:pStyle w:val="8"/>
              <w:spacing w:line="320" w:lineRule="atLeast"/>
              <w:ind w:firstLine="0" w:firstLineChars="0"/>
              <w:jc w:val="center"/>
              <w:rPr>
                <w:sz w:val="21"/>
                <w:szCs w:val="21"/>
              </w:rPr>
            </w:pPr>
            <w:r>
              <w:rPr>
                <w:sz w:val="21"/>
                <w:szCs w:val="21"/>
              </w:rPr>
              <w:t>1.0</w:t>
            </w:r>
          </w:p>
          <w:p>
            <w:pPr>
              <w:pStyle w:val="8"/>
              <w:spacing w:line="320" w:lineRule="atLeast"/>
              <w:ind w:firstLine="0" w:firstLineChars="0"/>
              <w:jc w:val="center"/>
              <w:rPr>
                <w:sz w:val="21"/>
                <w:szCs w:val="21"/>
              </w:rPr>
            </w:pPr>
            <w:r>
              <w:rPr>
                <w:sz w:val="21"/>
                <w:szCs w:val="21"/>
              </w:rPr>
              <w:t>1.2</w:t>
            </w:r>
          </w:p>
          <w:p>
            <w:pPr>
              <w:pStyle w:val="8"/>
              <w:spacing w:line="320" w:lineRule="atLeast"/>
              <w:ind w:firstLine="0" w:firstLineChars="0"/>
              <w:jc w:val="center"/>
              <w:rPr>
                <w:sz w:val="21"/>
                <w:szCs w:val="21"/>
              </w:rPr>
            </w:pPr>
            <w:r>
              <w:rPr>
                <w:sz w:val="21"/>
                <w:szCs w:val="21"/>
              </w:rPr>
              <w:t>1.5</w:t>
            </w:r>
          </w:p>
        </w:tc>
        <w:tc>
          <w:tcPr>
            <w:tcW w:w="1879" w:type="dxa"/>
            <w:vAlign w:val="center"/>
          </w:tcPr>
          <w:p>
            <w:pPr>
              <w:pStyle w:val="8"/>
              <w:spacing w:line="320" w:lineRule="atLeast"/>
              <w:ind w:firstLine="0" w:firstLineChars="0"/>
              <w:jc w:val="center"/>
              <w:rPr>
                <w:sz w:val="21"/>
                <w:szCs w:val="21"/>
              </w:rPr>
            </w:pPr>
          </w:p>
          <w:p>
            <w:pPr>
              <w:pStyle w:val="8"/>
              <w:spacing w:line="320" w:lineRule="atLeast"/>
              <w:ind w:firstLine="0" w:firstLineChars="0"/>
              <w:jc w:val="center"/>
              <w:rPr>
                <w:sz w:val="21"/>
                <w:szCs w:val="21"/>
              </w:rPr>
            </w:pPr>
            <w:r>
              <w:rPr>
                <w:sz w:val="21"/>
                <w:szCs w:val="21"/>
              </w:rPr>
              <w:t>0.25</w:t>
            </w:r>
          </w:p>
          <w:p>
            <w:pPr>
              <w:pStyle w:val="8"/>
              <w:spacing w:line="320" w:lineRule="atLeast"/>
              <w:ind w:firstLine="0" w:firstLineChars="0"/>
              <w:jc w:val="center"/>
              <w:rPr>
                <w:sz w:val="21"/>
                <w:szCs w:val="21"/>
              </w:rPr>
            </w:pPr>
            <w:r>
              <w:rPr>
                <w:sz w:val="21"/>
                <w:szCs w:val="21"/>
              </w:rPr>
              <w:t>0.25</w:t>
            </w:r>
          </w:p>
          <w:p>
            <w:pPr>
              <w:pStyle w:val="8"/>
              <w:spacing w:line="320" w:lineRule="atLeast"/>
              <w:ind w:firstLine="0" w:firstLineChars="0"/>
              <w:jc w:val="center"/>
              <w:rPr>
                <w:sz w:val="21"/>
                <w:szCs w:val="21"/>
              </w:rPr>
            </w:pPr>
            <w:r>
              <w:rPr>
                <w:sz w:val="21"/>
                <w:szCs w:val="21"/>
              </w:rPr>
              <w:t>0.25</w:t>
            </w:r>
          </w:p>
          <w:p>
            <w:pPr>
              <w:pStyle w:val="8"/>
              <w:spacing w:line="320" w:lineRule="atLeast"/>
              <w:ind w:firstLine="0" w:firstLineChars="0"/>
              <w:jc w:val="center"/>
              <w:rPr>
                <w:sz w:val="21"/>
                <w:szCs w:val="21"/>
              </w:rPr>
            </w:pPr>
            <w:r>
              <w:rPr>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2</w:t>
            </w:r>
          </w:p>
        </w:tc>
        <w:tc>
          <w:tcPr>
            <w:tcW w:w="3119" w:type="dxa"/>
          </w:tcPr>
          <w:p>
            <w:pPr>
              <w:pStyle w:val="8"/>
              <w:spacing w:line="320" w:lineRule="atLeast"/>
              <w:ind w:firstLine="0" w:firstLineChars="0"/>
              <w:rPr>
                <w:sz w:val="21"/>
                <w:szCs w:val="21"/>
              </w:rPr>
            </w:pPr>
            <w:r>
              <w:rPr>
                <w:sz w:val="21"/>
                <w:szCs w:val="21"/>
              </w:rPr>
              <w:t>排水管直径：</w:t>
            </w:r>
          </w:p>
          <w:p>
            <w:pPr>
              <w:pStyle w:val="8"/>
              <w:spacing w:line="320" w:lineRule="atLeast"/>
              <w:ind w:firstLine="487" w:firstLineChars="232"/>
              <w:rPr>
                <w:sz w:val="21"/>
                <w:szCs w:val="21"/>
              </w:rPr>
            </w:pPr>
            <w:r>
              <w:rPr>
                <w:sz w:val="21"/>
                <w:szCs w:val="21"/>
              </w:rPr>
              <w:t>&lt;800mm</w:t>
            </w:r>
          </w:p>
          <w:p>
            <w:pPr>
              <w:pStyle w:val="8"/>
              <w:spacing w:line="320" w:lineRule="atLeast"/>
              <w:ind w:firstLine="487" w:firstLineChars="232"/>
              <w:rPr>
                <w:sz w:val="21"/>
                <w:szCs w:val="21"/>
              </w:rPr>
            </w:pPr>
            <w:r>
              <w:rPr>
                <w:sz w:val="21"/>
                <w:szCs w:val="21"/>
              </w:rPr>
              <w:t>800～1500mm</w:t>
            </w:r>
          </w:p>
          <w:p>
            <w:pPr>
              <w:pStyle w:val="8"/>
              <w:spacing w:line="320" w:lineRule="atLeast"/>
              <w:ind w:firstLine="487" w:firstLineChars="232"/>
              <w:rPr>
                <w:sz w:val="21"/>
                <w:szCs w:val="21"/>
              </w:rPr>
            </w:pPr>
            <w:r>
              <w:rPr>
                <w:sz w:val="21"/>
                <w:szCs w:val="21"/>
              </w:rPr>
              <w:t>&gt;1500mm</w:t>
            </w:r>
          </w:p>
        </w:tc>
        <w:tc>
          <w:tcPr>
            <w:tcW w:w="2162" w:type="dxa"/>
          </w:tcPr>
          <w:p>
            <w:pPr>
              <w:pStyle w:val="8"/>
              <w:spacing w:line="320" w:lineRule="atLeast"/>
              <w:ind w:firstLine="0" w:firstLineChars="0"/>
              <w:jc w:val="center"/>
              <w:rPr>
                <w:sz w:val="21"/>
                <w:szCs w:val="21"/>
              </w:rPr>
            </w:pPr>
          </w:p>
          <w:p>
            <w:pPr>
              <w:pStyle w:val="8"/>
              <w:spacing w:line="320" w:lineRule="atLeast"/>
              <w:ind w:firstLine="0" w:firstLineChars="0"/>
              <w:jc w:val="center"/>
              <w:rPr>
                <w:sz w:val="21"/>
                <w:szCs w:val="21"/>
              </w:rPr>
            </w:pPr>
            <w:r>
              <w:rPr>
                <w:sz w:val="21"/>
                <w:szCs w:val="21"/>
              </w:rPr>
              <w:t>0.8</w:t>
            </w:r>
          </w:p>
          <w:p>
            <w:pPr>
              <w:pStyle w:val="8"/>
              <w:spacing w:line="320" w:lineRule="atLeast"/>
              <w:ind w:firstLine="0" w:firstLineChars="0"/>
              <w:jc w:val="center"/>
              <w:rPr>
                <w:sz w:val="21"/>
                <w:szCs w:val="21"/>
              </w:rPr>
            </w:pPr>
            <w:r>
              <w:rPr>
                <w:sz w:val="21"/>
                <w:szCs w:val="21"/>
              </w:rPr>
              <w:t>1.0</w:t>
            </w:r>
          </w:p>
          <w:p>
            <w:pPr>
              <w:pStyle w:val="8"/>
              <w:spacing w:line="320" w:lineRule="atLeast"/>
              <w:ind w:firstLine="0" w:firstLineChars="0"/>
              <w:jc w:val="center"/>
              <w:rPr>
                <w:sz w:val="21"/>
                <w:szCs w:val="21"/>
              </w:rPr>
            </w:pPr>
            <w:r>
              <w:rPr>
                <w:sz w:val="21"/>
                <w:szCs w:val="21"/>
              </w:rPr>
              <w:t>1.2</w:t>
            </w:r>
          </w:p>
        </w:tc>
        <w:tc>
          <w:tcPr>
            <w:tcW w:w="1879" w:type="dxa"/>
          </w:tcPr>
          <w:p>
            <w:pPr>
              <w:pStyle w:val="8"/>
              <w:spacing w:line="320" w:lineRule="atLeast"/>
              <w:ind w:firstLine="0" w:firstLineChars="0"/>
              <w:jc w:val="center"/>
              <w:rPr>
                <w:sz w:val="21"/>
                <w:szCs w:val="21"/>
              </w:rPr>
            </w:pPr>
          </w:p>
          <w:p>
            <w:pPr>
              <w:pStyle w:val="8"/>
              <w:spacing w:line="320" w:lineRule="atLeast"/>
              <w:ind w:firstLine="0" w:firstLineChars="0"/>
              <w:jc w:val="center"/>
              <w:rPr>
                <w:sz w:val="21"/>
                <w:szCs w:val="21"/>
              </w:rPr>
            </w:pPr>
            <w:r>
              <w:rPr>
                <w:sz w:val="21"/>
                <w:szCs w:val="21"/>
              </w:rPr>
              <w:t>0.25</w:t>
            </w:r>
          </w:p>
          <w:p>
            <w:pPr>
              <w:pStyle w:val="8"/>
              <w:spacing w:line="320" w:lineRule="atLeast"/>
              <w:ind w:firstLine="0" w:firstLineChars="0"/>
              <w:jc w:val="center"/>
              <w:rPr>
                <w:sz w:val="21"/>
                <w:szCs w:val="21"/>
              </w:rPr>
            </w:pPr>
            <w:r>
              <w:rPr>
                <w:sz w:val="21"/>
                <w:szCs w:val="21"/>
              </w:rPr>
              <w:t>0.25</w:t>
            </w:r>
          </w:p>
          <w:p>
            <w:pPr>
              <w:pStyle w:val="8"/>
              <w:spacing w:line="320" w:lineRule="atLeast"/>
              <w:ind w:firstLine="0" w:firstLineChars="0"/>
              <w:jc w:val="center"/>
              <w:rPr>
                <w:sz w:val="21"/>
                <w:szCs w:val="21"/>
              </w:rPr>
            </w:pPr>
            <w:r>
              <w:rPr>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3</w:t>
            </w:r>
          </w:p>
        </w:tc>
        <w:tc>
          <w:tcPr>
            <w:tcW w:w="3119" w:type="dxa"/>
          </w:tcPr>
          <w:p>
            <w:pPr>
              <w:pStyle w:val="8"/>
              <w:spacing w:line="320" w:lineRule="atLeast"/>
              <w:ind w:firstLine="0" w:firstLineChars="0"/>
              <w:rPr>
                <w:sz w:val="21"/>
                <w:szCs w:val="21"/>
              </w:rPr>
            </w:pPr>
            <w:r>
              <w:rPr>
                <w:sz w:val="21"/>
                <w:szCs w:val="21"/>
              </w:rPr>
              <w:t>热力管（沟）</w:t>
            </w:r>
          </w:p>
        </w:tc>
        <w:tc>
          <w:tcPr>
            <w:tcW w:w="2162" w:type="dxa"/>
          </w:tcPr>
          <w:p>
            <w:pPr>
              <w:pStyle w:val="8"/>
              <w:spacing w:line="320" w:lineRule="atLeast"/>
              <w:ind w:firstLine="0" w:firstLineChars="0"/>
              <w:jc w:val="center"/>
              <w:rPr>
                <w:sz w:val="21"/>
                <w:szCs w:val="21"/>
              </w:rPr>
            </w:pPr>
            <w:r>
              <w:rPr>
                <w:sz w:val="21"/>
                <w:szCs w:val="21"/>
              </w:rPr>
              <w:t>1.5</w:t>
            </w:r>
          </w:p>
        </w:tc>
        <w:tc>
          <w:tcPr>
            <w:tcW w:w="1879" w:type="dxa"/>
          </w:tcPr>
          <w:p>
            <w:pPr>
              <w:pStyle w:val="8"/>
              <w:spacing w:line="320" w:lineRule="atLeast"/>
              <w:ind w:firstLine="0" w:firstLineChars="0"/>
              <w:jc w:val="center"/>
              <w:rPr>
                <w:sz w:val="21"/>
                <w:szCs w:val="21"/>
              </w:rPr>
            </w:pPr>
            <w:r>
              <w:rPr>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4</w:t>
            </w:r>
          </w:p>
        </w:tc>
        <w:tc>
          <w:tcPr>
            <w:tcW w:w="3119" w:type="dxa"/>
          </w:tcPr>
          <w:p>
            <w:pPr>
              <w:pStyle w:val="8"/>
              <w:spacing w:line="320" w:lineRule="atLeast"/>
              <w:ind w:firstLine="0" w:firstLineChars="0"/>
              <w:rPr>
                <w:sz w:val="21"/>
                <w:szCs w:val="21"/>
              </w:rPr>
            </w:pPr>
            <w:r>
              <w:rPr>
                <w:sz w:val="21"/>
                <w:szCs w:val="21"/>
              </w:rPr>
              <w:t>氧气管</w:t>
            </w:r>
          </w:p>
        </w:tc>
        <w:tc>
          <w:tcPr>
            <w:tcW w:w="2162" w:type="dxa"/>
          </w:tcPr>
          <w:p>
            <w:pPr>
              <w:pStyle w:val="8"/>
              <w:spacing w:line="320" w:lineRule="atLeast"/>
              <w:ind w:firstLine="0" w:firstLineChars="0"/>
              <w:jc w:val="center"/>
              <w:rPr>
                <w:sz w:val="21"/>
                <w:szCs w:val="21"/>
              </w:rPr>
            </w:pPr>
            <w:r>
              <w:rPr>
                <w:sz w:val="21"/>
                <w:szCs w:val="21"/>
              </w:rPr>
              <w:t>1.5</w:t>
            </w:r>
          </w:p>
        </w:tc>
        <w:tc>
          <w:tcPr>
            <w:tcW w:w="1879" w:type="dxa"/>
          </w:tcPr>
          <w:p>
            <w:pPr>
              <w:pStyle w:val="8"/>
              <w:spacing w:line="320" w:lineRule="atLeast"/>
              <w:ind w:firstLine="0" w:firstLineChars="0"/>
              <w:jc w:val="center"/>
              <w:rPr>
                <w:sz w:val="21"/>
                <w:szCs w:val="21"/>
              </w:rPr>
            </w:pPr>
            <w:r>
              <w:rPr>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5</w:t>
            </w:r>
          </w:p>
        </w:tc>
        <w:tc>
          <w:tcPr>
            <w:tcW w:w="3119" w:type="dxa"/>
          </w:tcPr>
          <w:p>
            <w:pPr>
              <w:pStyle w:val="8"/>
              <w:spacing w:line="320" w:lineRule="atLeast"/>
              <w:ind w:firstLine="0" w:firstLineChars="0"/>
              <w:rPr>
                <w:sz w:val="21"/>
                <w:szCs w:val="21"/>
              </w:rPr>
            </w:pPr>
            <w:r>
              <w:rPr>
                <w:sz w:val="21"/>
                <w:szCs w:val="21"/>
              </w:rPr>
              <w:t>煤气管煤气压力：</w:t>
            </w:r>
          </w:p>
          <w:p>
            <w:pPr>
              <w:pStyle w:val="8"/>
              <w:spacing w:line="320" w:lineRule="atLeast"/>
              <w:ind w:firstLine="488" w:firstLineChars="0"/>
              <w:rPr>
                <w:sz w:val="21"/>
                <w:szCs w:val="21"/>
              </w:rPr>
            </w:pPr>
            <w:r>
              <w:rPr>
                <w:sz w:val="21"/>
                <w:szCs w:val="21"/>
              </w:rPr>
              <w:t>&lt;0.15MPa</w:t>
            </w:r>
          </w:p>
          <w:p>
            <w:pPr>
              <w:pStyle w:val="8"/>
              <w:spacing w:line="320" w:lineRule="atLeast"/>
              <w:ind w:firstLine="488" w:firstLineChars="0"/>
              <w:rPr>
                <w:sz w:val="21"/>
                <w:szCs w:val="21"/>
              </w:rPr>
            </w:pPr>
            <w:r>
              <w:rPr>
                <w:sz w:val="21"/>
                <w:szCs w:val="21"/>
              </w:rPr>
              <w:t>0.15～0.3MPa</w:t>
            </w:r>
          </w:p>
          <w:p>
            <w:pPr>
              <w:pStyle w:val="8"/>
              <w:spacing w:line="320" w:lineRule="atLeast"/>
              <w:ind w:firstLine="488" w:firstLineChars="0"/>
              <w:rPr>
                <w:sz w:val="21"/>
                <w:szCs w:val="21"/>
              </w:rPr>
            </w:pPr>
            <w:r>
              <w:rPr>
                <w:sz w:val="21"/>
                <w:szCs w:val="21"/>
              </w:rPr>
              <w:t>&gt;0.3MPa</w:t>
            </w:r>
          </w:p>
        </w:tc>
        <w:tc>
          <w:tcPr>
            <w:tcW w:w="2162" w:type="dxa"/>
          </w:tcPr>
          <w:p>
            <w:pPr>
              <w:pStyle w:val="8"/>
              <w:spacing w:line="320" w:lineRule="atLeast"/>
              <w:ind w:firstLine="0" w:firstLineChars="0"/>
              <w:jc w:val="center"/>
              <w:rPr>
                <w:sz w:val="21"/>
                <w:szCs w:val="21"/>
              </w:rPr>
            </w:pPr>
          </w:p>
          <w:p>
            <w:pPr>
              <w:pStyle w:val="8"/>
              <w:spacing w:line="320" w:lineRule="atLeast"/>
              <w:ind w:firstLine="0" w:firstLineChars="0"/>
              <w:jc w:val="center"/>
              <w:rPr>
                <w:sz w:val="21"/>
                <w:szCs w:val="21"/>
              </w:rPr>
            </w:pPr>
            <w:r>
              <w:rPr>
                <w:sz w:val="21"/>
                <w:szCs w:val="21"/>
              </w:rPr>
              <w:t>1.0</w:t>
            </w:r>
          </w:p>
          <w:p>
            <w:pPr>
              <w:pStyle w:val="8"/>
              <w:spacing w:line="320" w:lineRule="atLeast"/>
              <w:ind w:firstLine="0" w:firstLineChars="0"/>
              <w:jc w:val="center"/>
              <w:rPr>
                <w:sz w:val="21"/>
                <w:szCs w:val="21"/>
              </w:rPr>
            </w:pPr>
            <w:r>
              <w:rPr>
                <w:sz w:val="21"/>
                <w:szCs w:val="21"/>
              </w:rPr>
              <w:t>1.2</w:t>
            </w:r>
          </w:p>
          <w:p>
            <w:pPr>
              <w:pStyle w:val="8"/>
              <w:spacing w:line="320" w:lineRule="atLeast"/>
              <w:ind w:firstLine="0" w:firstLineChars="0"/>
              <w:jc w:val="center"/>
              <w:rPr>
                <w:sz w:val="21"/>
                <w:szCs w:val="21"/>
              </w:rPr>
            </w:pPr>
            <w:r>
              <w:rPr>
                <w:sz w:val="21"/>
                <w:szCs w:val="21"/>
              </w:rPr>
              <w:t>1.5</w:t>
            </w:r>
          </w:p>
        </w:tc>
        <w:tc>
          <w:tcPr>
            <w:tcW w:w="1879" w:type="dxa"/>
          </w:tcPr>
          <w:p>
            <w:pPr>
              <w:pStyle w:val="8"/>
              <w:spacing w:line="320" w:lineRule="atLeast"/>
              <w:ind w:firstLine="0" w:firstLineChars="0"/>
              <w:jc w:val="center"/>
              <w:rPr>
                <w:sz w:val="21"/>
                <w:szCs w:val="21"/>
              </w:rPr>
            </w:pPr>
          </w:p>
          <w:p>
            <w:pPr>
              <w:pStyle w:val="8"/>
              <w:spacing w:line="320" w:lineRule="atLeast"/>
              <w:ind w:firstLine="0" w:firstLineChars="0"/>
              <w:jc w:val="center"/>
              <w:rPr>
                <w:sz w:val="21"/>
                <w:szCs w:val="21"/>
              </w:rPr>
            </w:pPr>
            <w:r>
              <w:rPr>
                <w:sz w:val="21"/>
                <w:szCs w:val="21"/>
              </w:rPr>
              <w:t>0.25</w:t>
            </w:r>
          </w:p>
          <w:p>
            <w:pPr>
              <w:pStyle w:val="8"/>
              <w:spacing w:line="320" w:lineRule="atLeast"/>
              <w:ind w:firstLine="0" w:firstLineChars="0"/>
              <w:jc w:val="center"/>
              <w:rPr>
                <w:sz w:val="21"/>
                <w:szCs w:val="21"/>
              </w:rPr>
            </w:pPr>
            <w:r>
              <w:rPr>
                <w:sz w:val="21"/>
                <w:szCs w:val="21"/>
              </w:rPr>
              <w:t>0.25</w:t>
            </w:r>
          </w:p>
          <w:p>
            <w:pPr>
              <w:pStyle w:val="8"/>
              <w:spacing w:line="320" w:lineRule="atLeast"/>
              <w:ind w:firstLine="0" w:firstLineChars="0"/>
              <w:jc w:val="center"/>
              <w:rPr>
                <w:sz w:val="21"/>
                <w:szCs w:val="21"/>
              </w:rPr>
            </w:pPr>
            <w:r>
              <w:rPr>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6</w:t>
            </w:r>
          </w:p>
        </w:tc>
        <w:tc>
          <w:tcPr>
            <w:tcW w:w="3119" w:type="dxa"/>
          </w:tcPr>
          <w:p>
            <w:pPr>
              <w:pStyle w:val="8"/>
              <w:spacing w:line="320" w:lineRule="atLeast"/>
              <w:ind w:firstLine="0" w:firstLineChars="0"/>
              <w:rPr>
                <w:sz w:val="21"/>
                <w:szCs w:val="21"/>
              </w:rPr>
            </w:pPr>
            <w:r>
              <w:rPr>
                <w:sz w:val="21"/>
                <w:szCs w:val="21"/>
              </w:rPr>
              <w:t>压缩空气等不燃气体管道</w:t>
            </w:r>
          </w:p>
        </w:tc>
        <w:tc>
          <w:tcPr>
            <w:tcW w:w="2162" w:type="dxa"/>
          </w:tcPr>
          <w:p>
            <w:pPr>
              <w:pStyle w:val="8"/>
              <w:spacing w:line="320" w:lineRule="atLeast"/>
              <w:ind w:firstLine="0" w:firstLineChars="0"/>
              <w:jc w:val="center"/>
              <w:rPr>
                <w:sz w:val="21"/>
                <w:szCs w:val="21"/>
              </w:rPr>
            </w:pPr>
            <w:r>
              <w:rPr>
                <w:sz w:val="21"/>
                <w:szCs w:val="21"/>
              </w:rPr>
              <w:t>1.5</w:t>
            </w:r>
          </w:p>
        </w:tc>
        <w:tc>
          <w:tcPr>
            <w:tcW w:w="1879" w:type="dxa"/>
          </w:tcPr>
          <w:p>
            <w:pPr>
              <w:pStyle w:val="8"/>
              <w:spacing w:line="320" w:lineRule="atLeast"/>
              <w:ind w:firstLine="0" w:firstLineChars="0"/>
              <w:jc w:val="center"/>
              <w:rPr>
                <w:sz w:val="21"/>
                <w:szCs w:val="21"/>
              </w:rPr>
            </w:pPr>
            <w:r>
              <w:rPr>
                <w:sz w:val="21"/>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7</w:t>
            </w:r>
          </w:p>
        </w:tc>
        <w:tc>
          <w:tcPr>
            <w:tcW w:w="3119" w:type="dxa"/>
          </w:tcPr>
          <w:p>
            <w:pPr>
              <w:pStyle w:val="8"/>
              <w:spacing w:line="320" w:lineRule="atLeast"/>
              <w:ind w:firstLine="0" w:firstLineChars="0"/>
              <w:rPr>
                <w:sz w:val="21"/>
                <w:szCs w:val="21"/>
              </w:rPr>
            </w:pPr>
            <w:r>
              <w:rPr>
                <w:sz w:val="21"/>
                <w:szCs w:val="21"/>
              </w:rPr>
              <w:t>电力电缆</w:t>
            </w:r>
          </w:p>
        </w:tc>
        <w:tc>
          <w:tcPr>
            <w:tcW w:w="2162" w:type="dxa"/>
          </w:tcPr>
          <w:p>
            <w:pPr>
              <w:pStyle w:val="8"/>
              <w:spacing w:line="320" w:lineRule="atLeast"/>
              <w:ind w:firstLine="0" w:firstLineChars="0"/>
              <w:jc w:val="center"/>
              <w:rPr>
                <w:sz w:val="21"/>
                <w:szCs w:val="21"/>
              </w:rPr>
            </w:pPr>
            <w:r>
              <w:rPr>
                <w:sz w:val="21"/>
                <w:szCs w:val="21"/>
              </w:rPr>
              <w:t>1.0</w:t>
            </w:r>
          </w:p>
        </w:tc>
        <w:tc>
          <w:tcPr>
            <w:tcW w:w="1879" w:type="dxa"/>
          </w:tcPr>
          <w:p>
            <w:pPr>
              <w:pStyle w:val="8"/>
              <w:spacing w:line="320" w:lineRule="atLeast"/>
              <w:ind w:firstLine="0" w:firstLineChars="0"/>
              <w:jc w:val="center"/>
              <w:rPr>
                <w:sz w:val="21"/>
                <w:szCs w:val="21"/>
              </w:rPr>
            </w:pPr>
            <w:r>
              <w:rPr>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8</w:t>
            </w:r>
          </w:p>
        </w:tc>
        <w:tc>
          <w:tcPr>
            <w:tcW w:w="3119" w:type="dxa"/>
          </w:tcPr>
          <w:p>
            <w:pPr>
              <w:pStyle w:val="8"/>
              <w:spacing w:line="320" w:lineRule="atLeast"/>
              <w:ind w:firstLine="0" w:firstLineChars="0"/>
              <w:rPr>
                <w:sz w:val="21"/>
                <w:szCs w:val="21"/>
              </w:rPr>
            </w:pPr>
            <w:r>
              <w:rPr>
                <w:sz w:val="21"/>
                <w:szCs w:val="21"/>
              </w:rPr>
              <w:t>直埋电信电缆</w:t>
            </w:r>
          </w:p>
        </w:tc>
        <w:tc>
          <w:tcPr>
            <w:tcW w:w="2162" w:type="dxa"/>
          </w:tcPr>
          <w:p>
            <w:pPr>
              <w:pStyle w:val="8"/>
              <w:spacing w:line="320" w:lineRule="atLeast"/>
              <w:ind w:firstLine="0" w:firstLineChars="0"/>
              <w:jc w:val="center"/>
              <w:rPr>
                <w:sz w:val="21"/>
                <w:szCs w:val="21"/>
              </w:rPr>
            </w:pPr>
            <w:r>
              <w:rPr>
                <w:sz w:val="21"/>
                <w:szCs w:val="21"/>
              </w:rPr>
              <w:t>0.8</w:t>
            </w:r>
          </w:p>
        </w:tc>
        <w:tc>
          <w:tcPr>
            <w:tcW w:w="1879" w:type="dxa"/>
          </w:tcPr>
          <w:p>
            <w:pPr>
              <w:pStyle w:val="8"/>
              <w:spacing w:line="320" w:lineRule="atLeast"/>
              <w:ind w:firstLine="0" w:firstLineChars="0"/>
              <w:jc w:val="center"/>
              <w:rPr>
                <w:sz w:val="21"/>
                <w:szCs w:val="21"/>
              </w:rPr>
            </w:pPr>
            <w:r>
              <w:rPr>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9</w:t>
            </w:r>
          </w:p>
        </w:tc>
        <w:tc>
          <w:tcPr>
            <w:tcW w:w="3119" w:type="dxa"/>
          </w:tcPr>
          <w:p>
            <w:pPr>
              <w:pStyle w:val="8"/>
              <w:spacing w:line="320" w:lineRule="atLeast"/>
              <w:ind w:firstLine="0" w:firstLineChars="0"/>
              <w:rPr>
                <w:sz w:val="21"/>
                <w:szCs w:val="21"/>
              </w:rPr>
            </w:pPr>
            <w:r>
              <w:rPr>
                <w:sz w:val="21"/>
                <w:szCs w:val="21"/>
              </w:rPr>
              <w:t>电缆管</w:t>
            </w:r>
          </w:p>
        </w:tc>
        <w:tc>
          <w:tcPr>
            <w:tcW w:w="2162" w:type="dxa"/>
          </w:tcPr>
          <w:p>
            <w:pPr>
              <w:pStyle w:val="8"/>
              <w:spacing w:line="320" w:lineRule="atLeast"/>
              <w:ind w:firstLine="0" w:firstLineChars="0"/>
              <w:jc w:val="center"/>
              <w:rPr>
                <w:sz w:val="21"/>
                <w:szCs w:val="21"/>
              </w:rPr>
            </w:pPr>
            <w:r>
              <w:rPr>
                <w:sz w:val="21"/>
                <w:szCs w:val="21"/>
              </w:rPr>
              <w:t>1.0</w:t>
            </w:r>
          </w:p>
        </w:tc>
        <w:tc>
          <w:tcPr>
            <w:tcW w:w="1879" w:type="dxa"/>
          </w:tcPr>
          <w:p>
            <w:pPr>
              <w:pStyle w:val="8"/>
              <w:spacing w:line="320" w:lineRule="atLeast"/>
              <w:ind w:firstLine="0" w:firstLineChars="0"/>
              <w:jc w:val="center"/>
              <w:rPr>
                <w:sz w:val="21"/>
                <w:szCs w:val="21"/>
              </w:rPr>
            </w:pPr>
            <w:r>
              <w:rPr>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10</w:t>
            </w:r>
          </w:p>
        </w:tc>
        <w:tc>
          <w:tcPr>
            <w:tcW w:w="3119" w:type="dxa"/>
          </w:tcPr>
          <w:p>
            <w:pPr>
              <w:pStyle w:val="8"/>
              <w:spacing w:line="320" w:lineRule="atLeast"/>
              <w:ind w:firstLine="0" w:firstLineChars="0"/>
              <w:rPr>
                <w:sz w:val="21"/>
                <w:szCs w:val="21"/>
              </w:rPr>
            </w:pPr>
            <w:r>
              <w:rPr>
                <w:sz w:val="21"/>
                <w:szCs w:val="21"/>
              </w:rPr>
              <w:t>电线沟</w:t>
            </w:r>
          </w:p>
        </w:tc>
        <w:tc>
          <w:tcPr>
            <w:tcW w:w="2162" w:type="dxa"/>
          </w:tcPr>
          <w:p>
            <w:pPr>
              <w:pStyle w:val="8"/>
              <w:spacing w:line="320" w:lineRule="atLeast"/>
              <w:ind w:firstLine="0" w:firstLineChars="0"/>
              <w:jc w:val="center"/>
              <w:rPr>
                <w:sz w:val="21"/>
                <w:szCs w:val="21"/>
              </w:rPr>
            </w:pPr>
            <w:r>
              <w:rPr>
                <w:sz w:val="21"/>
                <w:szCs w:val="21"/>
              </w:rPr>
              <w:t>1.5</w:t>
            </w:r>
          </w:p>
        </w:tc>
        <w:tc>
          <w:tcPr>
            <w:tcW w:w="1879" w:type="dxa"/>
          </w:tcPr>
          <w:p>
            <w:pPr>
              <w:pStyle w:val="8"/>
              <w:spacing w:line="320" w:lineRule="atLeast"/>
              <w:ind w:firstLine="0" w:firstLineChars="0"/>
              <w:jc w:val="center"/>
              <w:rPr>
                <w:sz w:val="21"/>
                <w:szCs w:val="21"/>
              </w:rPr>
            </w:pPr>
            <w:r>
              <w:rPr>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11</w:t>
            </w:r>
          </w:p>
        </w:tc>
        <w:tc>
          <w:tcPr>
            <w:tcW w:w="3119" w:type="dxa"/>
          </w:tcPr>
          <w:p>
            <w:pPr>
              <w:pStyle w:val="8"/>
              <w:spacing w:line="320" w:lineRule="atLeast"/>
              <w:ind w:firstLine="0" w:firstLineChars="0"/>
              <w:rPr>
                <w:sz w:val="21"/>
                <w:szCs w:val="21"/>
              </w:rPr>
            </w:pPr>
            <w:r>
              <w:rPr>
                <w:sz w:val="21"/>
                <w:szCs w:val="21"/>
              </w:rPr>
              <w:t>排水暗渠</w:t>
            </w:r>
          </w:p>
        </w:tc>
        <w:tc>
          <w:tcPr>
            <w:tcW w:w="2162" w:type="dxa"/>
          </w:tcPr>
          <w:p>
            <w:pPr>
              <w:pStyle w:val="8"/>
              <w:spacing w:line="320" w:lineRule="atLeast"/>
              <w:ind w:firstLine="0" w:firstLineChars="0"/>
              <w:jc w:val="center"/>
              <w:rPr>
                <w:sz w:val="21"/>
                <w:szCs w:val="21"/>
              </w:rPr>
            </w:pPr>
            <w:r>
              <w:rPr>
                <w:sz w:val="21"/>
                <w:szCs w:val="21"/>
              </w:rPr>
              <w:t>0.8</w:t>
            </w:r>
          </w:p>
        </w:tc>
        <w:tc>
          <w:tcPr>
            <w:tcW w:w="1879" w:type="dxa"/>
          </w:tcPr>
          <w:p>
            <w:pPr>
              <w:pStyle w:val="8"/>
              <w:spacing w:line="320" w:lineRule="atLeast"/>
              <w:ind w:firstLine="0" w:firstLineChars="0"/>
              <w:jc w:val="center"/>
              <w:rPr>
                <w:sz w:val="21"/>
                <w:szCs w:val="21"/>
              </w:rPr>
            </w:pPr>
            <w:r>
              <w:rPr>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12</w:t>
            </w:r>
          </w:p>
        </w:tc>
        <w:tc>
          <w:tcPr>
            <w:tcW w:w="3119" w:type="dxa"/>
          </w:tcPr>
          <w:p>
            <w:pPr>
              <w:pStyle w:val="8"/>
              <w:spacing w:line="320" w:lineRule="atLeast"/>
              <w:ind w:firstLine="0" w:firstLineChars="0"/>
              <w:rPr>
                <w:sz w:val="21"/>
                <w:szCs w:val="21"/>
              </w:rPr>
            </w:pPr>
            <w:r>
              <w:rPr>
                <w:sz w:val="21"/>
                <w:szCs w:val="21"/>
              </w:rPr>
              <w:t>有地下室的建筑物基础和通行沟道的边缘</w:t>
            </w:r>
          </w:p>
        </w:tc>
        <w:tc>
          <w:tcPr>
            <w:tcW w:w="2162" w:type="dxa"/>
          </w:tcPr>
          <w:p>
            <w:pPr>
              <w:pStyle w:val="8"/>
              <w:spacing w:line="320" w:lineRule="atLeast"/>
              <w:ind w:firstLine="0" w:firstLineChars="0"/>
              <w:jc w:val="center"/>
              <w:rPr>
                <w:sz w:val="21"/>
                <w:szCs w:val="21"/>
              </w:rPr>
            </w:pPr>
            <w:r>
              <w:rPr>
                <w:sz w:val="21"/>
                <w:szCs w:val="21"/>
              </w:rPr>
              <w:t>3.0</w:t>
            </w:r>
          </w:p>
        </w:tc>
        <w:tc>
          <w:tcPr>
            <w:tcW w:w="1879" w:type="dxa"/>
          </w:tcPr>
          <w:p>
            <w:pPr>
              <w:pStyle w:val="8"/>
              <w:spacing w:line="320" w:lineRule="atLeast"/>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13</w:t>
            </w:r>
          </w:p>
        </w:tc>
        <w:tc>
          <w:tcPr>
            <w:tcW w:w="3119" w:type="dxa"/>
          </w:tcPr>
          <w:p>
            <w:pPr>
              <w:pStyle w:val="8"/>
              <w:spacing w:line="320" w:lineRule="atLeast"/>
              <w:ind w:firstLine="0" w:firstLineChars="0"/>
              <w:rPr>
                <w:sz w:val="21"/>
                <w:szCs w:val="21"/>
              </w:rPr>
            </w:pPr>
            <w:r>
              <w:rPr>
                <w:sz w:val="21"/>
                <w:szCs w:val="21"/>
              </w:rPr>
              <w:t>无地下室的建筑物基础边缘</w:t>
            </w:r>
          </w:p>
        </w:tc>
        <w:tc>
          <w:tcPr>
            <w:tcW w:w="2162" w:type="dxa"/>
          </w:tcPr>
          <w:p>
            <w:pPr>
              <w:pStyle w:val="8"/>
              <w:spacing w:line="320" w:lineRule="atLeast"/>
              <w:ind w:firstLine="0" w:firstLineChars="0"/>
              <w:jc w:val="center"/>
              <w:rPr>
                <w:sz w:val="21"/>
                <w:szCs w:val="21"/>
              </w:rPr>
            </w:pPr>
            <w:r>
              <w:rPr>
                <w:sz w:val="21"/>
                <w:szCs w:val="21"/>
              </w:rPr>
              <w:t>2.0</w:t>
            </w:r>
          </w:p>
        </w:tc>
        <w:tc>
          <w:tcPr>
            <w:tcW w:w="1879" w:type="dxa"/>
          </w:tcPr>
          <w:p>
            <w:pPr>
              <w:pStyle w:val="8"/>
              <w:spacing w:line="320" w:lineRule="atLeast"/>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14</w:t>
            </w:r>
          </w:p>
        </w:tc>
        <w:tc>
          <w:tcPr>
            <w:tcW w:w="3119" w:type="dxa"/>
          </w:tcPr>
          <w:p>
            <w:pPr>
              <w:pStyle w:val="8"/>
              <w:spacing w:line="320" w:lineRule="atLeast"/>
              <w:ind w:firstLine="0" w:firstLineChars="0"/>
              <w:rPr>
                <w:sz w:val="21"/>
                <w:szCs w:val="21"/>
              </w:rPr>
            </w:pPr>
            <w:r>
              <w:rPr>
                <w:sz w:val="21"/>
                <w:szCs w:val="21"/>
              </w:rPr>
              <w:t>铁路</w:t>
            </w:r>
          </w:p>
        </w:tc>
        <w:tc>
          <w:tcPr>
            <w:tcW w:w="2162" w:type="dxa"/>
          </w:tcPr>
          <w:p>
            <w:pPr>
              <w:pStyle w:val="8"/>
              <w:spacing w:line="320" w:lineRule="atLeast"/>
              <w:ind w:firstLine="0" w:firstLineChars="0"/>
              <w:jc w:val="center"/>
              <w:rPr>
                <w:sz w:val="21"/>
                <w:szCs w:val="21"/>
              </w:rPr>
            </w:pPr>
            <w:r>
              <w:rPr>
                <w:sz w:val="21"/>
                <w:szCs w:val="21"/>
              </w:rPr>
              <w:t>2.5（距轨外侧）</w:t>
            </w:r>
          </w:p>
        </w:tc>
        <w:tc>
          <w:tcPr>
            <w:tcW w:w="1879" w:type="dxa"/>
          </w:tcPr>
          <w:p>
            <w:pPr>
              <w:pStyle w:val="8"/>
              <w:spacing w:line="320" w:lineRule="atLeast"/>
              <w:ind w:firstLine="0" w:firstLineChars="0"/>
              <w:jc w:val="center"/>
              <w:rPr>
                <w:sz w:val="21"/>
                <w:szCs w:val="21"/>
              </w:rPr>
            </w:pPr>
            <w:r>
              <w:rPr>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15</w:t>
            </w:r>
          </w:p>
        </w:tc>
        <w:tc>
          <w:tcPr>
            <w:tcW w:w="3119" w:type="dxa"/>
          </w:tcPr>
          <w:p>
            <w:pPr>
              <w:pStyle w:val="8"/>
              <w:spacing w:line="320" w:lineRule="atLeast"/>
              <w:ind w:firstLine="0" w:firstLineChars="0"/>
              <w:rPr>
                <w:sz w:val="21"/>
                <w:szCs w:val="21"/>
              </w:rPr>
            </w:pPr>
            <w:r>
              <w:rPr>
                <w:sz w:val="21"/>
                <w:szCs w:val="21"/>
              </w:rPr>
              <w:t>排水沟边缘</w:t>
            </w:r>
          </w:p>
        </w:tc>
        <w:tc>
          <w:tcPr>
            <w:tcW w:w="2162" w:type="dxa"/>
          </w:tcPr>
          <w:p>
            <w:pPr>
              <w:pStyle w:val="8"/>
              <w:spacing w:line="320" w:lineRule="atLeast"/>
              <w:ind w:firstLine="0" w:firstLineChars="0"/>
              <w:jc w:val="center"/>
              <w:rPr>
                <w:sz w:val="21"/>
                <w:szCs w:val="21"/>
              </w:rPr>
            </w:pPr>
            <w:r>
              <w:rPr>
                <w:sz w:val="21"/>
                <w:szCs w:val="21"/>
              </w:rPr>
              <w:t>0.8</w:t>
            </w:r>
          </w:p>
        </w:tc>
        <w:tc>
          <w:tcPr>
            <w:tcW w:w="1879" w:type="dxa"/>
          </w:tcPr>
          <w:p>
            <w:pPr>
              <w:pStyle w:val="8"/>
              <w:spacing w:line="320" w:lineRule="atLeast"/>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16</w:t>
            </w:r>
          </w:p>
        </w:tc>
        <w:tc>
          <w:tcPr>
            <w:tcW w:w="3119" w:type="dxa"/>
          </w:tcPr>
          <w:p>
            <w:pPr>
              <w:pStyle w:val="8"/>
              <w:spacing w:line="320" w:lineRule="atLeast"/>
              <w:ind w:firstLine="0" w:firstLineChars="0"/>
              <w:rPr>
                <w:sz w:val="21"/>
                <w:szCs w:val="21"/>
              </w:rPr>
            </w:pPr>
            <w:r>
              <w:rPr>
                <w:sz w:val="21"/>
                <w:szCs w:val="21"/>
              </w:rPr>
              <w:t>道路</w:t>
            </w:r>
          </w:p>
        </w:tc>
        <w:tc>
          <w:tcPr>
            <w:tcW w:w="2162" w:type="dxa"/>
          </w:tcPr>
          <w:p>
            <w:pPr>
              <w:pStyle w:val="8"/>
              <w:spacing w:line="320" w:lineRule="atLeast"/>
              <w:ind w:firstLine="0" w:firstLineChars="0"/>
              <w:jc w:val="center"/>
              <w:rPr>
                <w:sz w:val="21"/>
                <w:szCs w:val="21"/>
              </w:rPr>
            </w:pPr>
            <w:r>
              <w:rPr>
                <w:sz w:val="21"/>
                <w:szCs w:val="21"/>
              </w:rPr>
              <w:t>0.8</w:t>
            </w:r>
          </w:p>
          <w:p>
            <w:pPr>
              <w:pStyle w:val="8"/>
              <w:spacing w:line="320" w:lineRule="atLeast"/>
              <w:ind w:firstLine="0" w:firstLineChars="0"/>
              <w:jc w:val="center"/>
              <w:rPr>
                <w:sz w:val="21"/>
                <w:szCs w:val="21"/>
              </w:rPr>
            </w:pPr>
            <w:r>
              <w:rPr>
                <w:sz w:val="21"/>
                <w:szCs w:val="21"/>
              </w:rPr>
              <w:t>（距路或路肩边缘）</w:t>
            </w:r>
          </w:p>
        </w:tc>
        <w:tc>
          <w:tcPr>
            <w:tcW w:w="1879" w:type="dxa"/>
          </w:tcPr>
          <w:p>
            <w:pPr>
              <w:pStyle w:val="8"/>
              <w:spacing w:line="320" w:lineRule="atLeast"/>
              <w:ind w:firstLine="0" w:firstLineChars="0"/>
              <w:jc w:val="center"/>
              <w:rPr>
                <w:sz w:val="21"/>
                <w:szCs w:val="21"/>
              </w:rPr>
            </w:pPr>
            <w:r>
              <w:rPr>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17</w:t>
            </w:r>
          </w:p>
        </w:tc>
        <w:tc>
          <w:tcPr>
            <w:tcW w:w="3119" w:type="dxa"/>
          </w:tcPr>
          <w:p>
            <w:pPr>
              <w:pStyle w:val="8"/>
              <w:spacing w:line="320" w:lineRule="atLeast"/>
              <w:ind w:firstLine="0" w:firstLineChars="0"/>
              <w:rPr>
                <w:sz w:val="21"/>
                <w:szCs w:val="21"/>
              </w:rPr>
            </w:pPr>
            <w:r>
              <w:rPr>
                <w:sz w:val="21"/>
                <w:szCs w:val="21"/>
              </w:rPr>
              <w:t>照明电线杆中心</w:t>
            </w:r>
          </w:p>
        </w:tc>
        <w:tc>
          <w:tcPr>
            <w:tcW w:w="2162" w:type="dxa"/>
          </w:tcPr>
          <w:p>
            <w:pPr>
              <w:pStyle w:val="8"/>
              <w:spacing w:line="320" w:lineRule="atLeast"/>
              <w:ind w:firstLine="0" w:firstLineChars="0"/>
              <w:jc w:val="center"/>
              <w:rPr>
                <w:sz w:val="21"/>
                <w:szCs w:val="21"/>
              </w:rPr>
            </w:pPr>
            <w:r>
              <w:rPr>
                <w:sz w:val="21"/>
                <w:szCs w:val="21"/>
              </w:rPr>
              <w:t>0.8</w:t>
            </w:r>
          </w:p>
        </w:tc>
        <w:tc>
          <w:tcPr>
            <w:tcW w:w="1879" w:type="dxa"/>
          </w:tcPr>
          <w:p>
            <w:pPr>
              <w:pStyle w:val="8"/>
              <w:spacing w:line="320" w:lineRule="atLeast"/>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18</w:t>
            </w:r>
          </w:p>
        </w:tc>
        <w:tc>
          <w:tcPr>
            <w:tcW w:w="3119" w:type="dxa"/>
          </w:tcPr>
          <w:p>
            <w:pPr>
              <w:pStyle w:val="8"/>
              <w:spacing w:line="320" w:lineRule="atLeast"/>
              <w:ind w:firstLine="0" w:firstLineChars="0"/>
              <w:rPr>
                <w:sz w:val="21"/>
                <w:szCs w:val="21"/>
              </w:rPr>
            </w:pPr>
            <w:r>
              <w:rPr>
                <w:sz w:val="21"/>
                <w:szCs w:val="21"/>
              </w:rPr>
              <w:t>电力（220V、380V）电线杆中心</w:t>
            </w:r>
          </w:p>
        </w:tc>
        <w:tc>
          <w:tcPr>
            <w:tcW w:w="2162" w:type="dxa"/>
          </w:tcPr>
          <w:p>
            <w:pPr>
              <w:pStyle w:val="8"/>
              <w:spacing w:line="320" w:lineRule="atLeast"/>
              <w:ind w:firstLine="0" w:firstLineChars="0"/>
              <w:jc w:val="center"/>
              <w:rPr>
                <w:sz w:val="21"/>
                <w:szCs w:val="21"/>
              </w:rPr>
            </w:pPr>
            <w:r>
              <w:rPr>
                <w:sz w:val="21"/>
                <w:szCs w:val="21"/>
              </w:rPr>
              <w:t>1.5</w:t>
            </w:r>
          </w:p>
        </w:tc>
        <w:tc>
          <w:tcPr>
            <w:tcW w:w="1879" w:type="dxa"/>
          </w:tcPr>
          <w:p>
            <w:pPr>
              <w:pStyle w:val="8"/>
              <w:spacing w:line="320" w:lineRule="atLeast"/>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19</w:t>
            </w:r>
          </w:p>
        </w:tc>
        <w:tc>
          <w:tcPr>
            <w:tcW w:w="3119" w:type="dxa"/>
          </w:tcPr>
          <w:p>
            <w:pPr>
              <w:pStyle w:val="8"/>
              <w:spacing w:line="320" w:lineRule="atLeast"/>
              <w:ind w:firstLine="0" w:firstLineChars="0"/>
              <w:rPr>
                <w:sz w:val="21"/>
                <w:szCs w:val="21"/>
              </w:rPr>
            </w:pPr>
            <w:r>
              <w:rPr>
                <w:sz w:val="21"/>
                <w:szCs w:val="21"/>
              </w:rPr>
              <w:t>高压电杆中心</w:t>
            </w:r>
          </w:p>
        </w:tc>
        <w:tc>
          <w:tcPr>
            <w:tcW w:w="2162" w:type="dxa"/>
          </w:tcPr>
          <w:p>
            <w:pPr>
              <w:pStyle w:val="8"/>
              <w:spacing w:line="320" w:lineRule="atLeast"/>
              <w:ind w:firstLine="0" w:firstLineChars="0"/>
              <w:jc w:val="center"/>
              <w:rPr>
                <w:sz w:val="21"/>
                <w:szCs w:val="21"/>
              </w:rPr>
            </w:pPr>
            <w:r>
              <w:rPr>
                <w:sz w:val="21"/>
                <w:szCs w:val="21"/>
              </w:rPr>
              <w:t>2.0</w:t>
            </w:r>
          </w:p>
        </w:tc>
        <w:tc>
          <w:tcPr>
            <w:tcW w:w="1879" w:type="dxa"/>
          </w:tcPr>
          <w:p>
            <w:pPr>
              <w:pStyle w:val="8"/>
              <w:spacing w:line="320" w:lineRule="atLeast"/>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20</w:t>
            </w:r>
          </w:p>
        </w:tc>
        <w:tc>
          <w:tcPr>
            <w:tcW w:w="3119" w:type="dxa"/>
          </w:tcPr>
          <w:p>
            <w:pPr>
              <w:pStyle w:val="8"/>
              <w:spacing w:line="320" w:lineRule="atLeast"/>
              <w:ind w:firstLine="0" w:firstLineChars="0"/>
              <w:rPr>
                <w:sz w:val="21"/>
                <w:szCs w:val="21"/>
              </w:rPr>
            </w:pPr>
            <w:r>
              <w:rPr>
                <w:sz w:val="21"/>
                <w:szCs w:val="21"/>
              </w:rPr>
              <w:t>架空管架基础外缘</w:t>
            </w:r>
          </w:p>
        </w:tc>
        <w:tc>
          <w:tcPr>
            <w:tcW w:w="2162" w:type="dxa"/>
          </w:tcPr>
          <w:p>
            <w:pPr>
              <w:pStyle w:val="8"/>
              <w:spacing w:line="320" w:lineRule="atLeast"/>
              <w:ind w:firstLine="0" w:firstLineChars="0"/>
              <w:jc w:val="center"/>
              <w:rPr>
                <w:sz w:val="21"/>
                <w:szCs w:val="21"/>
              </w:rPr>
            </w:pPr>
            <w:r>
              <w:rPr>
                <w:sz w:val="21"/>
                <w:szCs w:val="21"/>
              </w:rPr>
              <w:t>0.8</w:t>
            </w:r>
          </w:p>
        </w:tc>
        <w:tc>
          <w:tcPr>
            <w:tcW w:w="1879" w:type="dxa"/>
          </w:tcPr>
          <w:p>
            <w:pPr>
              <w:pStyle w:val="8"/>
              <w:spacing w:line="320" w:lineRule="atLeast"/>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21</w:t>
            </w:r>
          </w:p>
        </w:tc>
        <w:tc>
          <w:tcPr>
            <w:tcW w:w="3119" w:type="dxa"/>
          </w:tcPr>
          <w:p>
            <w:pPr>
              <w:pStyle w:val="8"/>
              <w:spacing w:line="320" w:lineRule="atLeast"/>
              <w:ind w:firstLine="0" w:firstLineChars="0"/>
              <w:rPr>
                <w:sz w:val="21"/>
                <w:szCs w:val="21"/>
              </w:rPr>
            </w:pPr>
            <w:r>
              <w:rPr>
                <w:sz w:val="21"/>
                <w:szCs w:val="21"/>
              </w:rPr>
              <w:t>围墙、篱栅基础外缘</w:t>
            </w:r>
          </w:p>
        </w:tc>
        <w:tc>
          <w:tcPr>
            <w:tcW w:w="2162" w:type="dxa"/>
          </w:tcPr>
          <w:p>
            <w:pPr>
              <w:pStyle w:val="8"/>
              <w:spacing w:line="320" w:lineRule="atLeast"/>
              <w:ind w:firstLine="0" w:firstLineChars="0"/>
              <w:jc w:val="center"/>
              <w:rPr>
                <w:sz w:val="21"/>
                <w:szCs w:val="21"/>
              </w:rPr>
            </w:pPr>
            <w:r>
              <w:rPr>
                <w:sz w:val="21"/>
                <w:szCs w:val="21"/>
              </w:rPr>
              <w:t>1.0</w:t>
            </w:r>
          </w:p>
        </w:tc>
        <w:tc>
          <w:tcPr>
            <w:tcW w:w="1879" w:type="dxa"/>
          </w:tcPr>
          <w:p>
            <w:pPr>
              <w:pStyle w:val="8"/>
              <w:spacing w:line="320" w:lineRule="atLeast"/>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22</w:t>
            </w:r>
          </w:p>
        </w:tc>
        <w:tc>
          <w:tcPr>
            <w:tcW w:w="3119" w:type="dxa"/>
          </w:tcPr>
          <w:p>
            <w:pPr>
              <w:pStyle w:val="8"/>
              <w:spacing w:line="320" w:lineRule="atLeast"/>
              <w:ind w:firstLine="0" w:firstLineChars="0"/>
              <w:rPr>
                <w:sz w:val="21"/>
                <w:szCs w:val="21"/>
              </w:rPr>
            </w:pPr>
            <w:r>
              <w:rPr>
                <w:sz w:val="21"/>
                <w:szCs w:val="21"/>
              </w:rPr>
              <w:t>乔木中心</w:t>
            </w:r>
          </w:p>
        </w:tc>
        <w:tc>
          <w:tcPr>
            <w:tcW w:w="2162" w:type="dxa"/>
          </w:tcPr>
          <w:p>
            <w:pPr>
              <w:pStyle w:val="8"/>
              <w:spacing w:line="320" w:lineRule="atLeast"/>
              <w:ind w:firstLine="0" w:firstLineChars="0"/>
              <w:jc w:val="center"/>
              <w:rPr>
                <w:sz w:val="21"/>
                <w:szCs w:val="21"/>
              </w:rPr>
            </w:pPr>
            <w:r>
              <w:rPr>
                <w:sz w:val="21"/>
                <w:szCs w:val="21"/>
              </w:rPr>
              <w:t>1.5</w:t>
            </w:r>
          </w:p>
        </w:tc>
        <w:tc>
          <w:tcPr>
            <w:tcW w:w="1879" w:type="dxa"/>
          </w:tcPr>
          <w:p>
            <w:pPr>
              <w:pStyle w:val="8"/>
              <w:spacing w:line="320" w:lineRule="atLeast"/>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8"/>
              <w:spacing w:line="320" w:lineRule="atLeast"/>
              <w:ind w:firstLine="0" w:firstLineChars="0"/>
              <w:jc w:val="center"/>
              <w:rPr>
                <w:sz w:val="21"/>
                <w:szCs w:val="21"/>
              </w:rPr>
            </w:pPr>
            <w:r>
              <w:rPr>
                <w:rFonts w:hint="eastAsia"/>
                <w:sz w:val="21"/>
                <w:szCs w:val="21"/>
              </w:rPr>
              <w:t>23</w:t>
            </w:r>
          </w:p>
        </w:tc>
        <w:tc>
          <w:tcPr>
            <w:tcW w:w="3119" w:type="dxa"/>
          </w:tcPr>
          <w:p>
            <w:pPr>
              <w:pStyle w:val="8"/>
              <w:spacing w:line="320" w:lineRule="atLeast"/>
              <w:ind w:firstLine="0" w:firstLineChars="0"/>
              <w:rPr>
                <w:sz w:val="21"/>
                <w:szCs w:val="21"/>
              </w:rPr>
            </w:pPr>
            <w:r>
              <w:rPr>
                <w:sz w:val="21"/>
                <w:szCs w:val="21"/>
              </w:rPr>
              <w:t>灌木中心</w:t>
            </w:r>
          </w:p>
        </w:tc>
        <w:tc>
          <w:tcPr>
            <w:tcW w:w="2162" w:type="dxa"/>
          </w:tcPr>
          <w:p>
            <w:pPr>
              <w:pStyle w:val="8"/>
              <w:spacing w:line="320" w:lineRule="atLeast"/>
              <w:ind w:firstLine="0" w:firstLineChars="0"/>
              <w:jc w:val="center"/>
              <w:rPr>
                <w:sz w:val="21"/>
                <w:szCs w:val="21"/>
              </w:rPr>
            </w:pPr>
            <w:r>
              <w:rPr>
                <w:sz w:val="21"/>
                <w:szCs w:val="21"/>
              </w:rPr>
              <w:t>1.0</w:t>
            </w:r>
          </w:p>
        </w:tc>
        <w:tc>
          <w:tcPr>
            <w:tcW w:w="1879" w:type="dxa"/>
          </w:tcPr>
          <w:p>
            <w:pPr>
              <w:pStyle w:val="8"/>
              <w:spacing w:line="320" w:lineRule="atLeast"/>
              <w:ind w:firstLine="0" w:firstLineChars="0"/>
              <w:jc w:val="center"/>
              <w:rPr>
                <w:sz w:val="21"/>
                <w:szCs w:val="21"/>
              </w:rPr>
            </w:pPr>
            <w:r>
              <w:rPr>
                <w:rFonts w:hint="eastAsia"/>
                <w:sz w:val="21"/>
                <w:szCs w:val="21"/>
              </w:rPr>
              <w:t>-</w:t>
            </w:r>
          </w:p>
        </w:tc>
      </w:tr>
    </w:tbl>
    <w:p>
      <w:pPr>
        <w:pStyle w:val="8"/>
        <w:ind w:firstLine="420"/>
        <w:rPr>
          <w:sz w:val="21"/>
          <w:szCs w:val="21"/>
        </w:rPr>
      </w:pPr>
      <w:r>
        <w:rPr>
          <w:sz w:val="21"/>
          <w:szCs w:val="21"/>
        </w:rPr>
        <w:t>注：1本表中</w:t>
      </w:r>
      <w:r>
        <w:rPr>
          <w:rFonts w:hint="eastAsia"/>
          <w:sz w:val="21"/>
          <w:szCs w:val="21"/>
        </w:rPr>
        <w:t>序号12、13</w:t>
      </w:r>
      <w:r>
        <w:rPr>
          <w:sz w:val="21"/>
          <w:szCs w:val="21"/>
        </w:rPr>
        <w:t>平行净距是指埋地管道与同标高或其以上的基础最外侧的最小净距。</w:t>
      </w:r>
    </w:p>
    <w:p>
      <w:pPr>
        <w:pStyle w:val="8"/>
        <w:ind w:firstLine="840" w:firstLineChars="400"/>
        <w:rPr>
          <w:sz w:val="21"/>
          <w:szCs w:val="21"/>
        </w:rPr>
      </w:pPr>
      <w:r>
        <w:rPr>
          <w:sz w:val="21"/>
          <w:szCs w:val="21"/>
        </w:rPr>
        <w:t>2氢气管道与铁路或道路交叉净距</w:t>
      </w:r>
      <w:r>
        <w:rPr>
          <w:rFonts w:hint="eastAsia"/>
          <w:sz w:val="21"/>
          <w:szCs w:val="21"/>
        </w:rPr>
        <w:t>，</w:t>
      </w:r>
      <w:r>
        <w:rPr>
          <w:sz w:val="21"/>
          <w:szCs w:val="21"/>
        </w:rPr>
        <w:t>是指管顶距轨底或路面</w:t>
      </w:r>
      <w:r>
        <w:rPr>
          <w:rFonts w:hint="eastAsia"/>
          <w:sz w:val="21"/>
          <w:szCs w:val="21"/>
        </w:rPr>
        <w:t>，</w:t>
      </w:r>
      <w:r>
        <w:rPr>
          <w:sz w:val="21"/>
          <w:szCs w:val="21"/>
        </w:rPr>
        <w:t>并且交叉角不宜小于45°。</w:t>
      </w:r>
    </w:p>
    <w:p>
      <w:pPr>
        <w:pStyle w:val="8"/>
        <w:ind w:firstLine="0" w:firstLineChars="0"/>
        <w:outlineLvl w:val="0"/>
        <w:rPr>
          <w:sz w:val="21"/>
          <w:szCs w:val="21"/>
        </w:rPr>
        <w:sectPr>
          <w:footerReference r:id="rId4" w:type="default"/>
          <w:pgSz w:w="11906" w:h="16838"/>
          <w:pgMar w:top="1440" w:right="1797" w:bottom="1440" w:left="1797" w:header="851" w:footer="992" w:gutter="0"/>
          <w:pgNumType w:start="1"/>
          <w:cols w:space="425" w:num="1"/>
          <w:docGrid w:linePitch="312" w:charSpace="0"/>
        </w:sectPr>
      </w:pPr>
    </w:p>
    <w:p>
      <w:pPr>
        <w:pStyle w:val="8"/>
        <w:ind w:firstLine="0" w:firstLineChars="0"/>
        <w:jc w:val="center"/>
        <w:outlineLvl w:val="0"/>
        <w:rPr>
          <w:sz w:val="30"/>
          <w:szCs w:val="30"/>
        </w:rPr>
      </w:pPr>
      <w:bookmarkStart w:id="29" w:name="_Toc108940951"/>
      <w:r>
        <w:rPr>
          <w:sz w:val="30"/>
          <w:szCs w:val="30"/>
        </w:rPr>
        <w:t>附录</w:t>
      </w:r>
      <w:r>
        <w:rPr>
          <w:rFonts w:hint="eastAsia"/>
          <w:sz w:val="30"/>
          <w:szCs w:val="30"/>
        </w:rPr>
        <w:t>E</w:t>
      </w:r>
      <w:r>
        <w:rPr>
          <w:sz w:val="30"/>
          <w:szCs w:val="30"/>
        </w:rPr>
        <w:t xml:space="preserve">  氢气的冲蚀速度</w:t>
      </w:r>
      <w:bookmarkEnd w:id="29"/>
    </w:p>
    <w:p>
      <w:pPr>
        <w:pStyle w:val="8"/>
        <w:ind w:firstLine="0" w:firstLineChars="0"/>
        <w:jc w:val="center"/>
        <w:rPr>
          <w:sz w:val="21"/>
        </w:rPr>
      </w:pPr>
    </w:p>
    <w:p>
      <w:pPr>
        <w:spacing w:line="360" w:lineRule="auto"/>
        <w:rPr>
          <w:sz w:val="24"/>
        </w:rPr>
      </w:pPr>
      <w:r>
        <w:rPr>
          <w:sz w:val="24"/>
        </w:rPr>
        <w:t>E.0.1 氢气的冲蚀速度</w:t>
      </w:r>
      <w:r>
        <w:rPr>
          <w:i/>
          <w:sz w:val="24"/>
        </w:rPr>
        <w:t>V</w:t>
      </w:r>
      <w:r>
        <w:rPr>
          <w:sz w:val="24"/>
          <w:vertAlign w:val="subscript"/>
        </w:rPr>
        <w:t>e</w:t>
      </w:r>
      <w:r>
        <w:rPr>
          <w:sz w:val="24"/>
        </w:rPr>
        <w:t>按下式计算：</w:t>
      </w:r>
    </w:p>
    <w:p>
      <w:pPr>
        <w:spacing w:line="360" w:lineRule="auto"/>
        <w:jc w:val="right"/>
        <w:rPr>
          <w:sz w:val="24"/>
        </w:rPr>
      </w:pPr>
      <m:oMath>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m:sty m:val="p"/>
              </m:rPr>
              <w:rPr>
                <w:rFonts w:ascii="Cambria Math" w:hAnsi="Cambria Math"/>
                <w:sz w:val="24"/>
              </w:rPr>
              <m:t>e</m:t>
            </m:r>
            <m:ctrlPr>
              <w:rPr>
                <w:rFonts w:ascii="Cambria Math" w:hAnsi="Cambria Math"/>
                <w:i/>
                <w:sz w:val="24"/>
              </w:rPr>
            </m:ctrlPr>
          </m:sub>
        </m:sSub>
        <m:r>
          <m:rPr>
            <m:sty m:val="p"/>
          </m:rPr>
          <w:rPr>
            <w:rFonts w:hint="eastAsia" w:ascii="Cambria Math" w:hAnsi="Cambria Math"/>
            <w:sz w:val="24"/>
          </w:rPr>
          <m:t>=</m:t>
        </m:r>
        <m:f>
          <m:fPr>
            <m:ctrlPr>
              <w:rPr>
                <w:rFonts w:ascii="Cambria Math" w:hAnsi="Cambria Math"/>
                <w:sz w:val="24"/>
              </w:rPr>
            </m:ctrlPr>
          </m:fPr>
          <m:num>
            <m:r>
              <m:rPr/>
              <w:rPr>
                <w:rFonts w:ascii="Cambria Math" w:hAnsi="Cambria Math"/>
                <w:sz w:val="24"/>
              </w:rPr>
              <m:t>7.8436</m:t>
            </m:r>
            <m:ctrlPr>
              <w:rPr>
                <w:rFonts w:ascii="Cambria Math" w:hAnsi="Cambria Math"/>
                <w:sz w:val="24"/>
              </w:rPr>
            </m:ctrlPr>
          </m:num>
          <m:den>
            <m:rad>
              <m:radPr>
                <m:degHide m:val="1"/>
                <m:ctrlPr>
                  <w:rPr>
                    <w:rFonts w:ascii="Cambria Math" w:hAnsi="Cambria Math"/>
                    <w:i/>
                    <w:sz w:val="24"/>
                  </w:rPr>
                </m:ctrlPr>
              </m:radPr>
              <m:deg>
                <m:ctrlPr>
                  <w:rPr>
                    <w:rFonts w:ascii="Cambria Math" w:hAnsi="Cambria Math"/>
                    <w:i/>
                    <w:sz w:val="24"/>
                  </w:rPr>
                </m:ctrlPr>
              </m:deg>
              <m:e>
                <m:f>
                  <m:fPr>
                    <m:ctrlPr>
                      <w:rPr>
                        <w:rFonts w:ascii="Cambria Math" w:hAnsi="Cambria Math"/>
                        <w:i/>
                        <w:sz w:val="24"/>
                      </w:rPr>
                    </m:ctrlPr>
                  </m:fPr>
                  <m:num>
                    <m:r>
                      <m:rPr/>
                      <w:rPr>
                        <w:rFonts w:ascii="Cambria Math" w:hAnsi="Cambria Math"/>
                        <w:sz w:val="24"/>
                      </w:rPr>
                      <m:t>P</m:t>
                    </m:r>
                    <m:ctrlPr>
                      <w:rPr>
                        <w:rFonts w:ascii="Cambria Math" w:hAnsi="Cambria Math"/>
                        <w:i/>
                        <w:sz w:val="24"/>
                      </w:rPr>
                    </m:ctrlPr>
                  </m:num>
                  <m:den>
                    <m:r>
                      <m:rPr/>
                      <w:rPr>
                        <w:rFonts w:ascii="Cambria Math" w:hAnsi="Cambria Math"/>
                        <w:sz w:val="24"/>
                      </w:rPr>
                      <m:t>ZT</m:t>
                    </m:r>
                    <m:ctrlPr>
                      <w:rPr>
                        <w:rFonts w:ascii="Cambria Math" w:hAnsi="Cambria Math"/>
                        <w:i/>
                        <w:sz w:val="24"/>
                      </w:rPr>
                    </m:ctrlPr>
                  </m:den>
                </m:f>
                <m:ctrlPr>
                  <w:rPr>
                    <w:rFonts w:ascii="Cambria Math" w:hAnsi="Cambria Math"/>
                    <w:i/>
                    <w:sz w:val="24"/>
                  </w:rPr>
                </m:ctrlPr>
              </m:e>
            </m:rad>
            <m:ctrlPr>
              <w:rPr>
                <w:rFonts w:ascii="Cambria Math" w:hAnsi="Cambria Math"/>
                <w:sz w:val="24"/>
              </w:rPr>
            </m:ctrlPr>
          </m:den>
        </m:f>
      </m:oMath>
      <w:r>
        <w:rPr>
          <w:sz w:val="24"/>
        </w:rPr>
        <w:fldChar w:fldCharType="begin"/>
      </w:r>
      <w:r>
        <w:rPr>
          <w:sz w:val="24"/>
        </w:rPr>
        <w:instrText xml:space="preserve"> QUOTE </w:instrText>
      </w:r>
      <m:oMath>
        <m:r>
          <m:rPr>
            <m:sty m:val="p"/>
          </m:rPr>
          <w:rPr>
            <w:rFonts w:ascii="Cambria Math" w:hAnsi="Cambria Math"/>
            <w:sz w:val="24"/>
          </w:rPr>
          <m:t xml:space="preserve">Ve</m:t>
        </m:r>
        <m:r>
          <m:rPr>
            <m:sty m:val="p"/>
          </m:rPr>
          <w:rPr>
            <w:rFonts w:hint="eastAsia" w:ascii="Cambria Math" w:hAnsi="Cambria Math"/>
            <w:sz w:val="24"/>
          </w:rPr>
          <m:t xml:space="preserve">=</m:t>
        </m:r>
        <m:f>
          <m:fPr>
            <m:ctrlPr>
              <w:rPr>
                <w:rFonts w:ascii="Cambria Math" w:hAnsi="Cambria Math"/>
                <w:sz w:val="24"/>
              </w:rPr>
            </m:ctrlPr>
          </m:fPr>
          <m:num>
            <m:r>
              <m:rPr>
                <m:sty m:val="p"/>
              </m:rPr>
              <w:rPr>
                <w:rFonts w:ascii="Cambria Math" w:hAnsi="Cambria Math"/>
                <w:sz w:val="24"/>
              </w:rPr>
              <m:t xml:space="preserve">7.8436</m:t>
            </m:r>
            <m:ctrlPr>
              <w:rPr>
                <w:rFonts w:ascii="Cambria Math" w:hAnsi="Cambria Math"/>
                <w:sz w:val="24"/>
              </w:rPr>
            </m:ctrlPr>
          </m:num>
          <m:den>
            <m:rad>
              <m:radPr>
                <m:degHide m:val="1"/>
                <m:ctrlPr>
                  <w:rPr>
                    <w:rFonts w:ascii="Cambria Math" w:hAnsi="Cambria Math"/>
                    <w:i/>
                    <w:sz w:val="24"/>
                  </w:rPr>
                </m:ctrlPr>
              </m:radPr>
              <m:deg>
                <m:ctrlPr>
                  <w:rPr>
                    <w:rFonts w:ascii="Cambria Math" w:hAnsi="Cambria Math"/>
                    <w:i/>
                    <w:sz w:val="24"/>
                  </w:rPr>
                </m:ctrlPr>
              </m:deg>
              <m:e>
                <m:f>
                  <m:fPr>
                    <m:ctrlPr>
                      <w:rPr>
                        <w:rFonts w:ascii="Cambria Math" w:hAnsi="Cambria Math"/>
                        <w:i/>
                        <w:sz w:val="24"/>
                      </w:rPr>
                    </m:ctrlPr>
                  </m:fPr>
                  <m:num>
                    <m:r>
                      <m:rPr>
                        <m:sty m:val="p"/>
                      </m:rPr>
                      <w:rPr>
                        <w:rFonts w:ascii="Cambria Math" w:hAnsi="Cambria Math"/>
                        <w:sz w:val="24"/>
                      </w:rPr>
                      <m:t xml:space="preserve">P</m:t>
                    </m:r>
                    <m:ctrlPr>
                      <w:rPr>
                        <w:rFonts w:ascii="Cambria Math" w:hAnsi="Cambria Math"/>
                        <w:i/>
                        <w:sz w:val="24"/>
                      </w:rPr>
                    </m:ctrlPr>
                  </m:num>
                  <m:den>
                    <m:r>
                      <m:rPr>
                        <m:sty m:val="p"/>
                      </m:rPr>
                      <w:rPr>
                        <w:rFonts w:ascii="Cambria Math" w:hAnsi="Cambria Math"/>
                        <w:sz w:val="24"/>
                      </w:rPr>
                      <m:t xml:space="preserve">ZT</m:t>
                    </m:r>
                    <m:ctrlPr>
                      <w:rPr>
                        <w:rFonts w:ascii="Cambria Math" w:hAnsi="Cambria Math"/>
                        <w:i/>
                        <w:sz w:val="24"/>
                      </w:rPr>
                    </m:ctrlPr>
                  </m:den>
                </m:f>
                <m:ctrlPr>
                  <w:rPr>
                    <w:rFonts w:ascii="Cambria Math" w:hAnsi="Cambria Math"/>
                    <w:i/>
                    <w:sz w:val="24"/>
                  </w:rPr>
                </m:ctrlPr>
              </m:e>
            </m:rad>
            <m:ctrlPr>
              <w:rPr>
                <w:rFonts w:ascii="Cambria Math" w:hAnsi="Cambria Math"/>
                <w:sz w:val="24"/>
              </w:rPr>
            </m:ctrlPr>
          </m:den>
        </m:f>
      </m:oMath>
      <w:r>
        <w:rPr>
          <w:sz w:val="24"/>
        </w:rPr>
        <w:instrText xml:space="preserve"> </w:instrText>
      </w:r>
      <w:r>
        <w:rPr>
          <w:sz w:val="24"/>
        </w:rPr>
        <w:fldChar w:fldCharType="separate"/>
      </w:r>
      <w:r>
        <w:rPr>
          <w:sz w:val="24"/>
        </w:rPr>
        <w:fldChar w:fldCharType="begin"/>
      </w:r>
      <w:r>
        <w:rPr>
          <w:sz w:val="24"/>
        </w:rPr>
        <w:instrText xml:space="preserve"> QUOTE </w:instrText>
      </w:r>
      <m:oMath>
        <m:r>
          <m:rPr>
            <m:sty m:val="p"/>
          </m:rPr>
          <w:rPr>
            <w:rFonts w:ascii="Cambria Math" w:hAnsi="Cambria Math"/>
            <w:sz w:val="24"/>
          </w:rPr>
          <m:t xml:space="preserve">Ve</m:t>
        </m:r>
        <m:r>
          <m:rPr>
            <m:sty m:val="p"/>
          </m:rPr>
          <w:rPr>
            <w:rFonts w:hint="eastAsia" w:ascii="Cambria Math" w:hAnsi="Cambria Math"/>
            <w:sz w:val="24"/>
          </w:rPr>
          <m:t xml:space="preserve">=</m:t>
        </m:r>
        <m:f>
          <m:fPr>
            <m:ctrlPr>
              <w:rPr>
                <w:rFonts w:ascii="Cambria Math" w:hAnsi="Cambria Math"/>
                <w:sz w:val="24"/>
              </w:rPr>
            </m:ctrlPr>
          </m:fPr>
          <m:num>
            <m:r>
              <m:rPr>
                <m:sty m:val="p"/>
              </m:rPr>
              <w:rPr>
                <w:rFonts w:ascii="Cambria Math" w:hAnsi="Cambria Math"/>
                <w:sz w:val="24"/>
              </w:rPr>
              <m:t xml:space="preserve">7.8436</m:t>
            </m:r>
            <m:ctrlPr>
              <w:rPr>
                <w:rFonts w:ascii="Cambria Math" w:hAnsi="Cambria Math"/>
                <w:sz w:val="24"/>
              </w:rPr>
            </m:ctrlPr>
          </m:num>
          <m:den>
            <m:rad>
              <m:radPr>
                <m:degHide m:val="1"/>
                <m:ctrlPr>
                  <w:rPr>
                    <w:rFonts w:ascii="Cambria Math" w:hAnsi="Cambria Math"/>
                    <w:i/>
                    <w:sz w:val="24"/>
                  </w:rPr>
                </m:ctrlPr>
              </m:radPr>
              <m:deg>
                <m:ctrlPr>
                  <w:rPr>
                    <w:rFonts w:ascii="Cambria Math" w:hAnsi="Cambria Math"/>
                    <w:i/>
                    <w:sz w:val="24"/>
                  </w:rPr>
                </m:ctrlPr>
              </m:deg>
              <m:e>
                <m:f>
                  <m:fPr>
                    <m:ctrlPr>
                      <w:rPr>
                        <w:rFonts w:ascii="Cambria Math" w:hAnsi="Cambria Math"/>
                        <w:i/>
                        <w:sz w:val="24"/>
                      </w:rPr>
                    </m:ctrlPr>
                  </m:fPr>
                  <m:num>
                    <m:r>
                      <m:rPr>
                        <m:sty m:val="p"/>
                      </m:rPr>
                      <w:rPr>
                        <w:rFonts w:ascii="Cambria Math" w:hAnsi="Cambria Math"/>
                        <w:sz w:val="24"/>
                      </w:rPr>
                      <m:t xml:space="preserve">P</m:t>
                    </m:r>
                    <m:ctrlPr>
                      <w:rPr>
                        <w:rFonts w:ascii="Cambria Math" w:hAnsi="Cambria Math"/>
                        <w:i/>
                        <w:sz w:val="24"/>
                      </w:rPr>
                    </m:ctrlPr>
                  </m:num>
                  <m:den>
                    <m:r>
                      <m:rPr>
                        <m:sty m:val="p"/>
                      </m:rPr>
                      <w:rPr>
                        <w:rFonts w:ascii="Cambria Math" w:hAnsi="Cambria Math"/>
                        <w:sz w:val="24"/>
                      </w:rPr>
                      <m:t xml:space="preserve">ZT</m:t>
                    </m:r>
                    <m:ctrlPr>
                      <w:rPr>
                        <w:rFonts w:ascii="Cambria Math" w:hAnsi="Cambria Math"/>
                        <w:i/>
                        <w:sz w:val="24"/>
                      </w:rPr>
                    </m:ctrlPr>
                  </m:den>
                </m:f>
                <m:ctrlPr>
                  <w:rPr>
                    <w:rFonts w:ascii="Cambria Math" w:hAnsi="Cambria Math"/>
                    <w:i/>
                    <w:sz w:val="24"/>
                  </w:rPr>
                </m:ctrlPr>
              </m:e>
            </m:rad>
            <m:ctrlPr>
              <w:rPr>
                <w:rFonts w:ascii="Cambria Math" w:hAnsi="Cambria Math"/>
                <w:sz w:val="24"/>
              </w:rPr>
            </m:ctrlPr>
          </m:den>
        </m:f>
      </m:oMath>
      <w:r>
        <w:rPr>
          <w:sz w:val="24"/>
        </w:rPr>
        <w:instrText xml:space="preserve"> </w:instrText>
      </w:r>
      <w:r>
        <w:rPr>
          <w:sz w:val="24"/>
        </w:rPr>
        <w:fldChar w:fldCharType="end"/>
      </w:r>
      <w:r>
        <w:rPr>
          <w:sz w:val="24"/>
        </w:rPr>
        <w:fldChar w:fldCharType="end"/>
      </w:r>
      <w:r>
        <w:rPr>
          <w:sz w:val="24"/>
        </w:rPr>
        <w:fldChar w:fldCharType="begin"/>
      </w:r>
      <w:r>
        <w:rPr>
          <w:sz w:val="24"/>
        </w:rPr>
        <w:instrText xml:space="preserve"> QUOTE </w:instrText>
      </w:r>
      <m:oMath>
        <m:r>
          <m:rPr>
            <m:sty m:val="p"/>
          </m:rPr>
          <w:rPr>
            <w:rFonts w:ascii="Cambria Math" w:hAnsi="Cambria Math"/>
            <w:sz w:val="24"/>
          </w:rPr>
          <m:t xml:space="preserve">Ve</m:t>
        </m:r>
        <m:r>
          <m:rPr>
            <m:sty m:val="p"/>
          </m:rPr>
          <w:rPr>
            <w:rFonts w:hint="eastAsia" w:ascii="Cambria Math" w:hAnsi="Cambria Math"/>
            <w:sz w:val="24"/>
          </w:rPr>
          <m:t xml:space="preserve">=</m:t>
        </m:r>
        <m:f>
          <m:fPr>
            <m:ctrlPr>
              <w:rPr>
                <w:rFonts w:ascii="Cambria Math" w:hAnsi="Cambria Math"/>
                <w:sz w:val="24"/>
              </w:rPr>
            </m:ctrlPr>
          </m:fPr>
          <m:num>
            <m:r>
              <m:rPr>
                <m:sty m:val="p"/>
              </m:rPr>
              <w:rPr>
                <w:rFonts w:ascii="Cambria Math" w:hAnsi="Cambria Math"/>
                <w:sz w:val="24"/>
              </w:rPr>
              <m:t xml:space="preserve">7.8436</m:t>
            </m:r>
            <m:ctrlPr>
              <w:rPr>
                <w:rFonts w:ascii="Cambria Math" w:hAnsi="Cambria Math"/>
                <w:sz w:val="24"/>
              </w:rPr>
            </m:ctrlPr>
          </m:num>
          <m:den>
            <m:rad>
              <m:radPr>
                <m:degHide m:val="1"/>
                <m:ctrlPr>
                  <w:rPr>
                    <w:rFonts w:ascii="Cambria Math" w:hAnsi="Cambria Math"/>
                    <w:i/>
                    <w:sz w:val="24"/>
                  </w:rPr>
                </m:ctrlPr>
              </m:radPr>
              <m:deg>
                <m:ctrlPr>
                  <w:rPr>
                    <w:rFonts w:ascii="Cambria Math" w:hAnsi="Cambria Math"/>
                    <w:i/>
                    <w:sz w:val="24"/>
                  </w:rPr>
                </m:ctrlPr>
              </m:deg>
              <m:e>
                <m:f>
                  <m:fPr>
                    <m:ctrlPr>
                      <w:rPr>
                        <w:rFonts w:ascii="Cambria Math" w:hAnsi="Cambria Math"/>
                        <w:i/>
                        <w:sz w:val="24"/>
                      </w:rPr>
                    </m:ctrlPr>
                  </m:fPr>
                  <m:num>
                    <m:r>
                      <m:rPr>
                        <m:sty m:val="p"/>
                      </m:rPr>
                      <w:rPr>
                        <w:rFonts w:ascii="Cambria Math" w:hAnsi="Cambria Math"/>
                        <w:sz w:val="24"/>
                      </w:rPr>
                      <m:t xml:space="preserve">P</m:t>
                    </m:r>
                    <m:ctrlPr>
                      <w:rPr>
                        <w:rFonts w:ascii="Cambria Math" w:hAnsi="Cambria Math"/>
                        <w:i/>
                        <w:sz w:val="24"/>
                      </w:rPr>
                    </m:ctrlPr>
                  </m:num>
                  <m:den>
                    <m:r>
                      <m:rPr>
                        <m:sty m:val="p"/>
                      </m:rPr>
                      <w:rPr>
                        <w:rFonts w:ascii="Cambria Math" w:hAnsi="Cambria Math"/>
                        <w:sz w:val="24"/>
                      </w:rPr>
                      <m:t xml:space="preserve">ZT</m:t>
                    </m:r>
                    <m:ctrlPr>
                      <w:rPr>
                        <w:rFonts w:ascii="Cambria Math" w:hAnsi="Cambria Math"/>
                        <w:i/>
                        <w:sz w:val="24"/>
                      </w:rPr>
                    </m:ctrlPr>
                  </m:den>
                </m:f>
                <m:ctrlPr>
                  <w:rPr>
                    <w:rFonts w:ascii="Cambria Math" w:hAnsi="Cambria Math"/>
                    <w:i/>
                    <w:sz w:val="24"/>
                  </w:rPr>
                </m:ctrlPr>
              </m:e>
            </m:rad>
            <m:ctrlPr>
              <w:rPr>
                <w:rFonts w:ascii="Cambria Math" w:hAnsi="Cambria Math"/>
                <w:sz w:val="24"/>
              </w:rPr>
            </m:ctrlPr>
          </m:den>
        </m:f>
      </m:oMath>
      <w:r>
        <w:rPr>
          <w:sz w:val="24"/>
        </w:rPr>
        <w:instrText xml:space="preserve"> </w:instrText>
      </w:r>
      <w:r>
        <w:rPr>
          <w:sz w:val="24"/>
        </w:rPr>
        <w:fldChar w:fldCharType="end"/>
      </w:r>
      <w:r>
        <w:rPr>
          <w:sz w:val="24"/>
        </w:rPr>
        <w:tab/>
      </w:r>
      <w:r>
        <w:rPr>
          <w:sz w:val="24"/>
        </w:rPr>
        <w:tab/>
      </w:r>
      <w:r>
        <w:rPr>
          <w:sz w:val="24"/>
        </w:rPr>
        <w:tab/>
      </w:r>
      <w:r>
        <w:rPr>
          <w:sz w:val="24"/>
        </w:rPr>
        <w:tab/>
      </w:r>
      <w:r>
        <w:rPr>
          <w:sz w:val="24"/>
        </w:rPr>
        <w:tab/>
      </w:r>
      <w:r>
        <w:rPr>
          <w:sz w:val="24"/>
        </w:rPr>
        <w:tab/>
      </w:r>
      <w:r>
        <w:rPr>
          <w:sz w:val="24"/>
        </w:rPr>
        <w:tab/>
      </w:r>
      <w:r>
        <w:rPr>
          <w:sz w:val="24"/>
        </w:rPr>
        <w:t>（E.0.1-1）</w:t>
      </w:r>
    </w:p>
    <w:p>
      <w:pPr>
        <w:spacing w:line="360" w:lineRule="auto"/>
        <w:rPr>
          <w:sz w:val="24"/>
        </w:rPr>
      </w:pPr>
      <w:r>
        <w:rPr>
          <w:sz w:val="24"/>
        </w:rPr>
        <w:t>式中：</w:t>
      </w:r>
    </w:p>
    <w:p>
      <w:pPr>
        <w:spacing w:line="360" w:lineRule="auto"/>
        <w:rPr>
          <w:sz w:val="24"/>
        </w:rPr>
      </w:pPr>
      <w:r>
        <w:rPr>
          <w:i/>
          <w:sz w:val="24"/>
        </w:rPr>
        <w:t>V</w:t>
      </w:r>
      <w:r>
        <w:rPr>
          <w:sz w:val="24"/>
          <w:vertAlign w:val="subscript"/>
        </w:rPr>
        <w:t>e</w:t>
      </w:r>
      <w:r>
        <w:rPr>
          <w:sz w:val="24"/>
        </w:rPr>
        <w:t>——氢气</w:t>
      </w:r>
      <w:r>
        <w:rPr>
          <w:rFonts w:hint="eastAsia"/>
          <w:sz w:val="24"/>
        </w:rPr>
        <w:t>工作</w:t>
      </w:r>
      <w:r>
        <w:rPr>
          <w:sz w:val="24"/>
        </w:rPr>
        <w:t>条件下的冲蚀速度，m/s；</w:t>
      </w:r>
    </w:p>
    <w:p>
      <w:pPr>
        <w:spacing w:line="360" w:lineRule="auto"/>
        <w:ind w:left="420" w:hanging="420"/>
        <w:rPr>
          <w:sz w:val="24"/>
        </w:rPr>
      </w:pPr>
      <w:r>
        <w:rPr>
          <w:i/>
          <w:sz w:val="24"/>
        </w:rPr>
        <w:t>p</w:t>
      </w:r>
      <w:r>
        <w:rPr>
          <w:sz w:val="24"/>
        </w:rPr>
        <w:t>——氢气管道最低</w:t>
      </w:r>
      <w:r>
        <w:rPr>
          <w:rFonts w:hint="eastAsia"/>
          <w:sz w:val="24"/>
        </w:rPr>
        <w:t>工作</w:t>
      </w:r>
      <w:r>
        <w:rPr>
          <w:sz w:val="24"/>
        </w:rPr>
        <w:t>压力，MPa（绝压）；</w:t>
      </w:r>
    </w:p>
    <w:p>
      <w:pPr>
        <w:spacing w:line="360" w:lineRule="auto"/>
        <w:rPr>
          <w:sz w:val="24"/>
        </w:rPr>
      </w:pPr>
      <w:r>
        <w:rPr>
          <w:i/>
          <w:sz w:val="24"/>
        </w:rPr>
        <w:t>T</w:t>
      </w:r>
      <w:r>
        <w:rPr>
          <w:sz w:val="24"/>
        </w:rPr>
        <w:t>——氢气温度，K；</w:t>
      </w:r>
    </w:p>
    <w:p>
      <w:pPr>
        <w:spacing w:line="360" w:lineRule="auto"/>
        <w:rPr>
          <w:sz w:val="24"/>
        </w:rPr>
      </w:pPr>
      <w:r>
        <w:rPr>
          <w:i/>
          <w:sz w:val="24"/>
        </w:rPr>
        <w:t>Z</w:t>
      </w:r>
      <w:r>
        <w:rPr>
          <w:sz w:val="24"/>
        </w:rPr>
        <w:t>——给定压力、温度条件下氢气的压缩系数，无量纲。</w:t>
      </w:r>
    </w:p>
    <w:p>
      <w:pPr>
        <w:spacing w:before="120" w:beforeLines="50" w:line="360" w:lineRule="auto"/>
        <w:rPr>
          <w:sz w:val="24"/>
        </w:rPr>
      </w:pPr>
      <w:r>
        <w:rPr>
          <w:rFonts w:hint="eastAsia"/>
          <w:sz w:val="24"/>
        </w:rPr>
        <w:t>E</w:t>
      </w:r>
      <w:r>
        <w:rPr>
          <w:sz w:val="24"/>
        </w:rPr>
        <w:t>.0.</w:t>
      </w:r>
      <w:r>
        <w:rPr>
          <w:rFonts w:hint="eastAsia"/>
          <w:sz w:val="24"/>
        </w:rPr>
        <w:t>2</w:t>
      </w:r>
      <w:r>
        <w:rPr>
          <w:sz w:val="24"/>
        </w:rPr>
        <w:t xml:space="preserve"> </w:t>
      </w:r>
      <w:r>
        <w:rPr>
          <w:rFonts w:hint="eastAsia"/>
          <w:sz w:val="24"/>
        </w:rPr>
        <w:t>压力为0.1~100</w:t>
      </w:r>
      <w:r>
        <w:rPr>
          <w:sz w:val="24"/>
        </w:rPr>
        <w:t>MP</w:t>
      </w:r>
      <w:r>
        <w:rPr>
          <w:rFonts w:hint="eastAsia"/>
          <w:sz w:val="24"/>
        </w:rPr>
        <w:t>a、温度为220~500</w:t>
      </w:r>
      <w:r>
        <w:rPr>
          <w:sz w:val="24"/>
        </w:rPr>
        <w:t>K</w:t>
      </w:r>
      <w:r>
        <w:rPr>
          <w:rFonts w:hint="eastAsia"/>
          <w:sz w:val="24"/>
        </w:rPr>
        <w:t>时，氢气压缩系数</w:t>
      </w:r>
      <w:r>
        <w:rPr>
          <w:i/>
          <w:sz w:val="24"/>
        </w:rPr>
        <w:t>Z</w:t>
      </w:r>
      <w:r>
        <w:rPr>
          <w:rFonts w:hint="eastAsia"/>
          <w:sz w:val="24"/>
        </w:rPr>
        <w:t>按下式计算：</w:t>
      </w:r>
    </w:p>
    <w:p>
      <w:pPr>
        <w:spacing w:line="360" w:lineRule="auto"/>
        <w:jc w:val="right"/>
        <w:rPr>
          <w:rFonts w:ascii="宋体" w:hAnsi="宋体"/>
          <w:sz w:val="24"/>
        </w:rPr>
      </w:pPr>
      <m:oMath>
        <m:r>
          <m:rPr/>
          <w:rPr>
            <w:rFonts w:hint="eastAsia" w:ascii="Cambria Math" w:hAnsi="Cambria Math"/>
            <w:sz w:val="24"/>
          </w:rPr>
          <m:t>Z</m:t>
        </m:r>
        <m:r>
          <m:rPr/>
          <w:rPr>
            <w:rFonts w:ascii="Cambria Math" w:hAnsi="Cambria Math"/>
            <w:sz w:val="24"/>
          </w:rPr>
          <m:t>=</m:t>
        </m:r>
        <m:nary>
          <m:naryPr>
            <m:chr m:val="∑"/>
            <m:limLoc m:val="undOvr"/>
            <m:ctrlPr>
              <w:rPr>
                <w:rFonts w:ascii="Cambria Math" w:hAnsi="Cambria Math"/>
                <w:i/>
                <w:sz w:val="24"/>
              </w:rPr>
            </m:ctrlPr>
          </m:naryPr>
          <m:sub>
            <m:r>
              <m:rPr/>
              <w:rPr>
                <w:rFonts w:ascii="Cambria Math" w:hAnsi="Cambria Math"/>
                <w:sz w:val="24"/>
              </w:rPr>
              <m:t>i=1</m:t>
            </m:r>
            <m:ctrlPr>
              <w:rPr>
                <w:rFonts w:ascii="Cambria Math" w:hAnsi="Cambria Math"/>
                <w:i/>
                <w:sz w:val="24"/>
              </w:rPr>
            </m:ctrlPr>
          </m:sub>
          <m:sup>
            <m:r>
              <m:rPr/>
              <w:rPr>
                <w:rFonts w:ascii="Cambria Math" w:hAnsi="Cambria Math"/>
                <w:sz w:val="24"/>
              </w:rPr>
              <m:t>6</m:t>
            </m:r>
            <m:ctrlPr>
              <w:rPr>
                <w:rFonts w:ascii="Cambria Math" w:hAnsi="Cambria Math"/>
                <w:i/>
                <w:sz w:val="24"/>
              </w:rPr>
            </m:ctrlPr>
          </m:sup>
          <m:e>
            <m:nary>
              <m:naryPr>
                <m:chr m:val="∑"/>
                <m:limLoc m:val="undOvr"/>
                <m:ctrlPr>
                  <w:rPr>
                    <w:rFonts w:ascii="Cambria Math" w:hAnsi="Cambria Math"/>
                    <w:i/>
                    <w:sz w:val="24"/>
                  </w:rPr>
                </m:ctrlPr>
              </m:naryPr>
              <m:sub>
                <m:r>
                  <m:rPr/>
                  <w:rPr>
                    <w:rFonts w:ascii="Cambria Math" w:hAnsi="Cambria Math"/>
                    <w:sz w:val="24"/>
                  </w:rPr>
                  <m:t>j=1</m:t>
                </m:r>
                <m:ctrlPr>
                  <w:rPr>
                    <w:rFonts w:ascii="Cambria Math" w:hAnsi="Cambria Math"/>
                    <w:i/>
                    <w:sz w:val="24"/>
                  </w:rPr>
                </m:ctrlPr>
              </m:sub>
              <m:sup>
                <m:r>
                  <m:rPr/>
                  <w:rPr>
                    <w:rFonts w:ascii="Cambria Math" w:hAnsi="Cambria Math"/>
                    <w:sz w:val="24"/>
                  </w:rPr>
                  <m:t>4</m:t>
                </m:r>
                <m:ctrlPr>
                  <w:rPr>
                    <w:rFonts w:ascii="Cambria Math" w:hAnsi="Cambria Math"/>
                    <w:i/>
                    <w:sz w:val="24"/>
                  </w:rPr>
                </m:ctrlPr>
              </m:sup>
              <m:e>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ij</m:t>
                    </m:r>
                    <m:ctrlPr>
                      <w:rPr>
                        <w:rFonts w:ascii="Cambria Math" w:hAnsi="Cambria Math"/>
                        <w:i/>
                        <w:sz w:val="24"/>
                      </w:rPr>
                    </m:ctrlPr>
                  </m:sub>
                </m:sSub>
                <m:sSup>
                  <m:sSupPr>
                    <m:ctrlPr>
                      <w:rPr>
                        <w:rFonts w:ascii="Cambria Math" w:hAnsi="Cambria Math"/>
                        <w:i/>
                        <w:sz w:val="24"/>
                      </w:rPr>
                    </m:ctrlPr>
                  </m:sSupPr>
                  <m:e>
                    <m:r>
                      <m:rPr/>
                      <w:rPr>
                        <w:rFonts w:ascii="Cambria Math" w:hAnsi="Cambria Math"/>
                        <w:sz w:val="24"/>
                      </w:rPr>
                      <m:t>p</m:t>
                    </m:r>
                    <m:ctrlPr>
                      <w:rPr>
                        <w:rFonts w:ascii="Cambria Math" w:hAnsi="Cambria Math"/>
                        <w:i/>
                        <w:sz w:val="24"/>
                      </w:rPr>
                    </m:ctrlPr>
                  </m:e>
                  <m:sup>
                    <m:r>
                      <m:rPr/>
                      <w:rPr>
                        <w:rFonts w:ascii="Cambria Math" w:hAnsi="Cambria Math"/>
                        <w:sz w:val="24"/>
                      </w:rPr>
                      <m:t>i</m:t>
                    </m:r>
                    <m:r>
                      <m:rPr/>
                      <w:rPr>
                        <w:rFonts w:hint="eastAsia" w:ascii="Cambria Math" w:hAnsi="Cambria Math" w:eastAsia="微软雅黑" w:cs="微软雅黑"/>
                        <w:sz w:val="24"/>
                      </w:rPr>
                      <m:t>−</m:t>
                    </m:r>
                    <m:r>
                      <m:rPr/>
                      <w:rPr>
                        <w:rFonts w:ascii="Cambria Math" w:hAnsi="Cambria Math"/>
                        <w:sz w:val="24"/>
                      </w:rPr>
                      <m:t>1</m:t>
                    </m:r>
                    <m:ctrlPr>
                      <w:rPr>
                        <w:rFonts w:ascii="Cambria Math" w:hAnsi="Cambria Math"/>
                        <w:i/>
                        <w:sz w:val="24"/>
                      </w:rPr>
                    </m:ctrlPr>
                  </m:sup>
                </m:sSup>
                <m:sSup>
                  <m:sSupPr>
                    <m:ctrlPr>
                      <w:rPr>
                        <w:rFonts w:ascii="Cambria Math" w:hAnsi="Cambria Math"/>
                        <w:i/>
                        <w:sz w:val="24"/>
                      </w:rPr>
                    </m:ctrlPr>
                  </m:sSupPr>
                  <m:e>
                    <m:d>
                      <m:dPr>
                        <m:ctrlPr>
                          <w:rPr>
                            <w:rFonts w:ascii="Cambria Math" w:hAnsi="Cambria Math"/>
                            <w:i/>
                            <w:sz w:val="24"/>
                          </w:rPr>
                        </m:ctrlPr>
                      </m:dPr>
                      <m:e>
                        <m:f>
                          <m:fPr>
                            <m:type m:val="lin"/>
                            <m:ctrlPr>
                              <w:rPr>
                                <w:rFonts w:ascii="Cambria Math" w:hAnsi="Cambria Math"/>
                                <w:i/>
                                <w:sz w:val="24"/>
                              </w:rPr>
                            </m:ctrlPr>
                          </m:fPr>
                          <m:num>
                            <m:r>
                              <m:rPr/>
                              <w:rPr>
                                <w:rFonts w:ascii="Cambria Math" w:hAnsi="Cambria Math"/>
                                <w:sz w:val="24"/>
                              </w:rPr>
                              <m:t>100</m:t>
                            </m:r>
                            <m:ctrlPr>
                              <w:rPr>
                                <w:rFonts w:ascii="Cambria Math" w:hAnsi="Cambria Math"/>
                                <w:i/>
                                <w:sz w:val="24"/>
                              </w:rPr>
                            </m:ctrlPr>
                          </m:num>
                          <m:den>
                            <m:r>
                              <m:rPr/>
                              <w:rPr>
                                <w:rFonts w:ascii="Cambria Math" w:hAnsi="Cambria Math"/>
                                <w:sz w:val="24"/>
                              </w:rPr>
                              <m:t>T</m:t>
                            </m:r>
                            <m:ctrlPr>
                              <w:rPr>
                                <w:rFonts w:ascii="Cambria Math" w:hAnsi="Cambria Math"/>
                                <w:i/>
                                <w:sz w:val="24"/>
                              </w:rPr>
                            </m:ctrlPr>
                          </m:den>
                        </m:f>
                        <m:ctrlPr>
                          <w:rPr>
                            <w:rFonts w:ascii="Cambria Math" w:hAnsi="Cambria Math"/>
                            <w:i/>
                            <w:sz w:val="24"/>
                          </w:rPr>
                        </m:ctrlPr>
                      </m:e>
                    </m:d>
                    <m:ctrlPr>
                      <w:rPr>
                        <w:rFonts w:ascii="Cambria Math" w:hAnsi="Cambria Math"/>
                        <w:i/>
                        <w:sz w:val="24"/>
                      </w:rPr>
                    </m:ctrlPr>
                  </m:e>
                  <m:sup>
                    <m:r>
                      <m:rPr/>
                      <w:rPr>
                        <w:rFonts w:ascii="Cambria Math" w:hAnsi="Cambria Math"/>
                        <w:sz w:val="24"/>
                      </w:rPr>
                      <m:t>j−1</m:t>
                    </m:r>
                    <m:ctrlPr>
                      <w:rPr>
                        <w:rFonts w:ascii="Cambria Math" w:hAnsi="Cambria Math"/>
                        <w:i/>
                        <w:sz w:val="24"/>
                      </w:rPr>
                    </m:ctrlPr>
                  </m:sup>
                </m:sSup>
                <m:ctrlPr>
                  <w:rPr>
                    <w:rFonts w:ascii="Cambria Math" w:hAnsi="Cambria Math"/>
                    <w:i/>
                    <w:sz w:val="24"/>
                  </w:rPr>
                </m:ctrlPr>
              </m:e>
            </m:nary>
            <m:ctrlPr>
              <w:rPr>
                <w:rFonts w:ascii="Cambria Math" w:hAnsi="Cambria Math"/>
                <w:i/>
                <w:sz w:val="24"/>
              </w:rPr>
            </m:ctrlPr>
          </m:e>
        </m:nary>
      </m:oMath>
      <w:r>
        <w:rPr>
          <w:rFonts w:hint="eastAsia" w:ascii="宋体" w:hAnsi="宋体"/>
          <w:sz w:val="24"/>
        </w:rPr>
        <w:t xml:space="preserve"> </w:t>
      </w:r>
      <w:r>
        <w:rPr>
          <w:rFonts w:ascii="宋体" w:hAnsi="宋体"/>
          <w:sz w:val="24"/>
        </w:rPr>
        <w:t xml:space="preserve">       </w:t>
      </w:r>
      <w:r>
        <w:rPr>
          <w:sz w:val="24"/>
        </w:rPr>
        <w:t xml:space="preserve"> </w:t>
      </w:r>
      <w:r>
        <w:rPr>
          <w:rFonts w:hint="eastAsia"/>
          <w:sz w:val="24"/>
        </w:rPr>
        <w:t>（</w:t>
      </w:r>
      <w:r>
        <w:rPr>
          <w:sz w:val="24"/>
        </w:rPr>
        <w:t>E.0.2-1</w:t>
      </w:r>
      <w:r>
        <w:rPr>
          <w:rFonts w:hint="eastAsia"/>
          <w:sz w:val="24"/>
        </w:rPr>
        <w:t>）</w:t>
      </w:r>
    </w:p>
    <w:p>
      <w:pPr>
        <w:spacing w:line="360" w:lineRule="auto"/>
        <w:rPr>
          <w:rFonts w:ascii="宋体" w:hAnsi="宋体"/>
          <w:sz w:val="24"/>
        </w:rPr>
      </w:pPr>
      <w:r>
        <w:rPr>
          <w:rFonts w:ascii="宋体" w:hAnsi="宋体"/>
          <w:sz w:val="24"/>
        </w:rPr>
        <w:t>式中：</w:t>
      </w:r>
    </w:p>
    <w:p>
      <w:pPr>
        <w:spacing w:line="360" w:lineRule="auto"/>
        <w:rPr>
          <w:sz w:val="24"/>
        </w:rPr>
      </w:pPr>
      <w:r>
        <w:rPr>
          <w:rFonts w:hint="eastAsia"/>
          <w:i/>
          <w:sz w:val="24"/>
        </w:rPr>
        <w:t>p</w:t>
      </w:r>
      <w:r>
        <w:rPr>
          <w:rFonts w:hint="eastAsia"/>
          <w:sz w:val="24"/>
        </w:rPr>
        <w:t>——氢气</w:t>
      </w:r>
      <w:r>
        <w:rPr>
          <w:sz w:val="24"/>
        </w:rPr>
        <w:t>压力</w:t>
      </w:r>
      <w:r>
        <w:rPr>
          <w:rFonts w:hint="eastAsia"/>
          <w:sz w:val="24"/>
        </w:rPr>
        <w:t>，</w:t>
      </w:r>
      <w:r>
        <w:rPr>
          <w:sz w:val="24"/>
        </w:rPr>
        <w:t>MPa</w:t>
      </w:r>
      <w:r>
        <w:rPr>
          <w:rFonts w:hint="eastAsia"/>
          <w:sz w:val="24"/>
        </w:rPr>
        <w:t>（绝压）</w:t>
      </w:r>
      <w:r>
        <w:rPr>
          <w:sz w:val="24"/>
        </w:rPr>
        <w:t>；</w:t>
      </w:r>
    </w:p>
    <w:p>
      <w:pPr>
        <w:spacing w:line="360" w:lineRule="auto"/>
        <w:rPr>
          <w:sz w:val="24"/>
        </w:rPr>
      </w:pPr>
      <w:r>
        <w:rPr>
          <w:i/>
          <w:sz w:val="24"/>
        </w:rPr>
        <w:t>T</w:t>
      </w:r>
      <w:r>
        <w:rPr>
          <w:rFonts w:hint="eastAsia"/>
          <w:i/>
          <w:sz w:val="24"/>
        </w:rPr>
        <w:t>——</w:t>
      </w:r>
      <w:r>
        <w:rPr>
          <w:rFonts w:hint="eastAsia"/>
          <w:sz w:val="24"/>
        </w:rPr>
        <w:t>氢气</w:t>
      </w:r>
      <w:r>
        <w:rPr>
          <w:sz w:val="24"/>
        </w:rPr>
        <w:t>温度，K；</w:t>
      </w:r>
    </w:p>
    <w:p>
      <w:pPr>
        <w:spacing w:line="360" w:lineRule="auto"/>
        <w:rPr>
          <w:sz w:val="24"/>
        </w:rPr>
      </w:pPr>
      <w:r>
        <w:rPr>
          <w:position w:val="-14"/>
          <w:sz w:val="24"/>
        </w:rPr>
        <w:object>
          <v:shape id="_x0000_i1026" o:spt="75" type="#_x0000_t75" style="height:19pt;width:13.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7" r:id="rId13">
            <o:LockedField>false</o:LockedField>
          </o:OLEObject>
        </w:object>
      </w:r>
      <w:r>
        <w:rPr>
          <w:rFonts w:hint="eastAsia"/>
          <w:sz w:val="24"/>
        </w:rPr>
        <w:t>——系</w:t>
      </w:r>
      <w:r>
        <w:rPr>
          <w:sz w:val="24"/>
        </w:rPr>
        <w:t>数，见表</w:t>
      </w:r>
      <w:r>
        <w:rPr>
          <w:rFonts w:hint="eastAsia"/>
          <w:sz w:val="24"/>
        </w:rPr>
        <w:t>E.</w:t>
      </w:r>
      <w:r>
        <w:rPr>
          <w:sz w:val="24"/>
        </w:rPr>
        <w:t>0.2</w:t>
      </w:r>
      <w:r>
        <w:rPr>
          <w:rFonts w:hint="eastAsia"/>
          <w:sz w:val="24"/>
        </w:rPr>
        <w:t>。</w:t>
      </w:r>
    </w:p>
    <w:p>
      <w:pPr>
        <w:pStyle w:val="8"/>
        <w:ind w:firstLine="0" w:firstLineChars="0"/>
        <w:jc w:val="center"/>
        <w:rPr>
          <w:b/>
          <w:sz w:val="21"/>
          <w:szCs w:val="21"/>
        </w:rPr>
      </w:pPr>
      <w:r>
        <w:rPr>
          <w:b/>
          <w:sz w:val="21"/>
          <w:szCs w:val="21"/>
        </w:rPr>
        <w:t>表</w:t>
      </w:r>
      <w:r>
        <w:rPr>
          <w:rFonts w:hint="eastAsia"/>
          <w:b/>
          <w:sz w:val="21"/>
          <w:szCs w:val="21"/>
        </w:rPr>
        <w:t>E</w:t>
      </w:r>
      <w:r>
        <w:rPr>
          <w:b/>
          <w:sz w:val="21"/>
          <w:szCs w:val="21"/>
        </w:rPr>
        <w:t xml:space="preserve">.0.2 系数 </w:t>
      </w:r>
      <w:r>
        <w:rPr>
          <w:b/>
          <w:position w:val="-14"/>
          <w:sz w:val="21"/>
          <w:szCs w:val="21"/>
        </w:rPr>
        <w:object>
          <v:shape id="_x0000_i1027" o:spt="75" type="#_x0000_t75" style="height:19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8" r:id="rId15">
            <o:LockedField>false</o:LockedField>
          </o:OLEObject>
        </w:object>
      </w:r>
    </w:p>
    <w:tbl>
      <w:tblPr>
        <w:tblStyle w:val="19"/>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830"/>
        <w:gridCol w:w="1894"/>
        <w:gridCol w:w="1785"/>
        <w:gridCol w:w="1554"/>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933" w:type="pct"/>
            <w:gridSpan w:val="2"/>
            <w:vMerge w:val="restart"/>
            <w:tcBorders>
              <w:top w:val="single" w:color="000000" w:themeColor="text1" w:sz="8" w:space="0"/>
              <w:left w:val="nil"/>
              <w:bottom w:val="single" w:color="000000" w:themeColor="text1" w:sz="8" w:space="0"/>
              <w:right w:val="nil"/>
              <w:insideH w:val="single" w:sz="8" w:space="0"/>
              <w:insideV w:val="nil"/>
            </w:tcBorders>
            <w:vAlign w:val="center"/>
          </w:tcPr>
          <w:p>
            <w:pPr>
              <w:spacing w:before="0" w:after="0" w:line="360" w:lineRule="auto"/>
              <w:ind w:firstLine="420"/>
              <w:jc w:val="center"/>
              <w:rPr>
                <w:rFonts w:ascii="Times New Roman" w:hAnsi="Times New Roman" w:cs="Times New Roman" w:eastAsiaTheme="minorEastAsia"/>
                <w:b w:val="0"/>
                <w:bCs/>
                <w:i/>
                <w:color w:val="auto"/>
                <w:szCs w:val="21"/>
                <w:highlight w:val="yellow"/>
              </w:rPr>
            </w:pPr>
            <m:oMathPara>
              <m:oMath>
                <m:sSub>
                  <m:sSubPr>
                    <m:ctrlPr>
                      <w:rPr>
                        <w:rFonts w:ascii="Cambria Math" w:hAnsi="Cambria Math" w:cs="Times New Roman" w:eastAsiaTheme="minorEastAsia"/>
                        <w:b w:val="0"/>
                        <w:bCs w:val="0"/>
                        <w:i/>
                        <w:color w:val="auto"/>
                        <w:szCs w:val="21"/>
                      </w:rPr>
                    </m:ctrlPr>
                  </m:sSubPr>
                  <m:e>
                    <m:r>
                      <m:rPr>
                        <m:sty m:val="bi"/>
                      </m:rPr>
                      <w:rPr>
                        <w:rFonts w:ascii="Cambria Math" w:hAnsi="Cambria Math" w:eastAsiaTheme="minorEastAsia" w:cstheme="minorBidi"/>
                        <w:color w:val="000000" w:themeColor="text1" w:themeShade="BF"/>
                        <w:szCs w:val="21"/>
                      </w:rPr>
                      <m:t>v</m:t>
                    </m:r>
                    <m:ctrlPr>
                      <w:rPr>
                        <w:rFonts w:ascii="Cambria Math" w:hAnsi="Cambria Math" w:cs="Times New Roman" w:eastAsiaTheme="minorEastAsia"/>
                        <w:b w:val="0"/>
                        <w:bCs w:val="0"/>
                        <w:i/>
                        <w:color w:val="auto"/>
                        <w:szCs w:val="21"/>
                      </w:rPr>
                    </m:ctrlPr>
                  </m:e>
                  <m:sub>
                    <m:r>
                      <m:rPr>
                        <m:sty m:val="bi"/>
                      </m:rPr>
                      <w:rPr>
                        <w:rFonts w:ascii="Cambria Math" w:hAnsi="Cambria Math" w:eastAsiaTheme="minorEastAsia" w:cstheme="minorBidi"/>
                        <w:color w:val="000000" w:themeColor="text1" w:themeShade="BF"/>
                        <w:szCs w:val="21"/>
                      </w:rPr>
                      <m:t>ij</m:t>
                    </m:r>
                    <m:ctrlPr>
                      <w:rPr>
                        <w:rFonts w:ascii="Cambria Math" w:hAnsi="Cambria Math" w:cs="Times New Roman" w:eastAsiaTheme="minorEastAsia"/>
                        <w:b w:val="0"/>
                        <w:bCs w:val="0"/>
                        <w:i/>
                        <w:color w:val="auto"/>
                        <w:szCs w:val="21"/>
                      </w:rPr>
                    </m:ctrlPr>
                  </m:sub>
                </m:sSub>
              </m:oMath>
            </m:oMathPara>
          </w:p>
        </w:tc>
        <w:tc>
          <w:tcPr>
            <w:tcW w:w="4067" w:type="pct"/>
            <w:gridSpan w:val="4"/>
            <w:tcBorders>
              <w:top w:val="single" w:color="000000" w:themeColor="text1" w:sz="8" w:space="0"/>
              <w:bottom w:val="single" w:color="000000" w:themeColor="text1" w:sz="8" w:space="0"/>
              <w:right w:val="nil"/>
              <w:insideH w:val="single" w:sz="8" w:space="0"/>
              <w:insideV w:val="nil"/>
            </w:tcBorders>
            <w:vAlign w:val="center"/>
          </w:tcPr>
          <w:p>
            <w:pPr>
              <w:spacing w:before="0" w:after="0" w:line="360" w:lineRule="auto"/>
              <w:jc w:val="center"/>
              <w:rPr>
                <w:rFonts w:ascii="Times New Roman" w:hAnsi="Times New Roman" w:cs="Times New Roman" w:eastAsiaTheme="minorEastAsia"/>
                <w:b/>
                <w:bCs/>
                <w:i/>
                <w:color w:val="auto"/>
                <w:szCs w:val="21"/>
              </w:rPr>
            </w:pPr>
            <w:r>
              <w:rPr>
                <w:rFonts w:ascii="Times New Roman" w:hAnsi="Times New Roman" w:cs="Times New Roman" w:eastAsiaTheme="minorEastAsia"/>
                <w:b w:val="0"/>
                <w:bCs w:val="0"/>
                <w:i/>
                <w:color w:val="auto"/>
                <w:szCs w:val="21"/>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33" w:type="pct"/>
            <w:gridSpan w:val="2"/>
            <w:vMerge w:val="continue"/>
            <w:vAlign w:val="center"/>
          </w:tcPr>
          <w:p>
            <w:pPr>
              <w:spacing w:line="360" w:lineRule="auto"/>
              <w:ind w:firstLine="360"/>
              <w:jc w:val="center"/>
              <w:rPr>
                <w:rFonts w:ascii="Times New Roman" w:hAnsi="Times New Roman" w:cs="Times New Roman" w:eastAsiaTheme="minorEastAsia"/>
                <w:b/>
                <w:bCs/>
                <w:color w:val="auto"/>
                <w:szCs w:val="21"/>
                <w:highlight w:val="yellow"/>
              </w:rPr>
            </w:pPr>
          </w:p>
        </w:tc>
        <w:tc>
          <w:tcPr>
            <w:tcW w:w="1098"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1</w:t>
            </w:r>
          </w:p>
        </w:tc>
        <w:tc>
          <w:tcPr>
            <w:tcW w:w="1035"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2</w:t>
            </w:r>
          </w:p>
        </w:tc>
        <w:tc>
          <w:tcPr>
            <w:tcW w:w="90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3</w:t>
            </w:r>
          </w:p>
        </w:tc>
        <w:tc>
          <w:tcPr>
            <w:tcW w:w="1032" w:type="pct"/>
            <w:vAlign w:val="center"/>
          </w:tcPr>
          <w:p>
            <w:pPr>
              <w:spacing w:line="360" w:lineRule="auto"/>
              <w:jc w:val="center"/>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452" w:type="pct"/>
            <w:vMerge w:val="restart"/>
            <w:vAlign w:val="center"/>
          </w:tcPr>
          <w:p>
            <w:pPr>
              <w:spacing w:line="360" w:lineRule="auto"/>
              <w:jc w:val="center"/>
              <w:rPr>
                <w:rFonts w:ascii="Times New Roman" w:hAnsi="Times New Roman" w:cs="Times New Roman" w:eastAsiaTheme="minorEastAsia"/>
                <w:b/>
                <w:bCs/>
                <w:i/>
                <w:color w:val="auto"/>
                <w:szCs w:val="21"/>
                <w:highlight w:val="yellow"/>
              </w:rPr>
            </w:pPr>
            <w:r>
              <w:rPr>
                <w:rFonts w:ascii="Times New Roman" w:hAnsi="Times New Roman" w:cs="Times New Roman" w:eastAsiaTheme="minorEastAsia"/>
                <w:b w:val="0"/>
                <w:bCs w:val="0"/>
                <w:i/>
                <w:color w:val="auto"/>
                <w:szCs w:val="21"/>
              </w:rPr>
              <w:t>i</w:t>
            </w:r>
          </w:p>
        </w:tc>
        <w:tc>
          <w:tcPr>
            <w:tcW w:w="48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1</w:t>
            </w:r>
          </w:p>
        </w:tc>
        <w:tc>
          <w:tcPr>
            <w:tcW w:w="1098"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1.00018</w:t>
            </w:r>
          </w:p>
        </w:tc>
        <w:tc>
          <w:tcPr>
            <w:tcW w:w="1035"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-0.0022546</w:t>
            </w:r>
          </w:p>
        </w:tc>
        <w:tc>
          <w:tcPr>
            <w:tcW w:w="90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0.01053</w:t>
            </w:r>
          </w:p>
        </w:tc>
        <w:tc>
          <w:tcPr>
            <w:tcW w:w="1032" w:type="pct"/>
            <w:vAlign w:val="center"/>
          </w:tcPr>
          <w:p>
            <w:pPr>
              <w:spacing w:line="360" w:lineRule="auto"/>
              <w:jc w:val="center"/>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-0.013205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52" w:type="pct"/>
            <w:vMerge w:val="continue"/>
            <w:vAlign w:val="center"/>
          </w:tcPr>
          <w:p>
            <w:pPr>
              <w:adjustRightInd w:val="0"/>
              <w:spacing w:line="360" w:lineRule="auto"/>
              <w:ind w:firstLine="360"/>
              <w:jc w:val="center"/>
              <w:rPr>
                <w:rFonts w:ascii="Times New Roman" w:hAnsi="Times New Roman" w:cs="Times New Roman" w:eastAsiaTheme="minorEastAsia"/>
                <w:b/>
                <w:bCs/>
                <w:color w:val="auto"/>
                <w:szCs w:val="21"/>
                <w:highlight w:val="yellow"/>
              </w:rPr>
            </w:pPr>
          </w:p>
        </w:tc>
        <w:tc>
          <w:tcPr>
            <w:tcW w:w="48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2</w:t>
            </w:r>
          </w:p>
        </w:tc>
        <w:tc>
          <w:tcPr>
            <w:tcW w:w="1098"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-0.00067291</w:t>
            </w:r>
          </w:p>
        </w:tc>
        <w:tc>
          <w:tcPr>
            <w:tcW w:w="1035"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0.028051</w:t>
            </w:r>
          </w:p>
        </w:tc>
        <w:tc>
          <w:tcPr>
            <w:tcW w:w="90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-0.024126</w:t>
            </w:r>
          </w:p>
        </w:tc>
        <w:tc>
          <w:tcPr>
            <w:tcW w:w="1032" w:type="pct"/>
            <w:vAlign w:val="center"/>
          </w:tcPr>
          <w:p>
            <w:pPr>
              <w:spacing w:line="360" w:lineRule="auto"/>
              <w:jc w:val="center"/>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-0.0058663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52" w:type="pct"/>
            <w:vMerge w:val="continue"/>
            <w:vAlign w:val="center"/>
          </w:tcPr>
          <w:p>
            <w:pPr>
              <w:adjustRightInd w:val="0"/>
              <w:spacing w:line="360" w:lineRule="auto"/>
              <w:ind w:firstLine="360"/>
              <w:jc w:val="center"/>
              <w:rPr>
                <w:rFonts w:ascii="Times New Roman" w:hAnsi="Times New Roman" w:cs="Times New Roman" w:eastAsiaTheme="minorEastAsia"/>
                <w:b/>
                <w:bCs/>
                <w:color w:val="auto"/>
                <w:szCs w:val="21"/>
                <w:highlight w:val="yellow"/>
              </w:rPr>
            </w:pPr>
          </w:p>
        </w:tc>
        <w:tc>
          <w:tcPr>
            <w:tcW w:w="48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3</w:t>
            </w:r>
          </w:p>
        </w:tc>
        <w:tc>
          <w:tcPr>
            <w:tcW w:w="1098"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0.000010817</w:t>
            </w:r>
          </w:p>
        </w:tc>
        <w:tc>
          <w:tcPr>
            <w:tcW w:w="1035"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-0.00012653</w:t>
            </w:r>
          </w:p>
        </w:tc>
        <w:tc>
          <w:tcPr>
            <w:tcW w:w="90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0.00019788</w:t>
            </w:r>
          </w:p>
        </w:tc>
        <w:tc>
          <w:tcPr>
            <w:tcW w:w="1032" w:type="pct"/>
            <w:vAlign w:val="center"/>
          </w:tcPr>
          <w:p>
            <w:pPr>
              <w:spacing w:line="360" w:lineRule="auto"/>
              <w:jc w:val="center"/>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0.00085677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52" w:type="pct"/>
            <w:vMerge w:val="continue"/>
            <w:vAlign w:val="center"/>
          </w:tcPr>
          <w:p>
            <w:pPr>
              <w:adjustRightInd w:val="0"/>
              <w:spacing w:line="360" w:lineRule="auto"/>
              <w:ind w:firstLine="360"/>
              <w:jc w:val="center"/>
              <w:rPr>
                <w:rFonts w:ascii="Times New Roman" w:hAnsi="Times New Roman" w:cs="Times New Roman" w:eastAsiaTheme="minorEastAsia"/>
                <w:b/>
                <w:bCs/>
                <w:color w:val="auto"/>
                <w:szCs w:val="21"/>
                <w:highlight w:val="yellow"/>
              </w:rPr>
            </w:pPr>
          </w:p>
        </w:tc>
        <w:tc>
          <w:tcPr>
            <w:tcW w:w="48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4</w:t>
            </w:r>
          </w:p>
        </w:tc>
        <w:tc>
          <w:tcPr>
            <w:tcW w:w="1098"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-1.4368E-07</w:t>
            </w:r>
          </w:p>
        </w:tc>
        <w:tc>
          <w:tcPr>
            <w:tcW w:w="1035"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1.2171E-06</w:t>
            </w:r>
          </w:p>
        </w:tc>
        <w:tc>
          <w:tcPr>
            <w:tcW w:w="90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7.7563E-07</w:t>
            </w:r>
          </w:p>
        </w:tc>
        <w:tc>
          <w:tcPr>
            <w:tcW w:w="1032" w:type="pct"/>
            <w:vAlign w:val="center"/>
          </w:tcPr>
          <w:p>
            <w:pPr>
              <w:spacing w:line="360" w:lineRule="auto"/>
              <w:jc w:val="center"/>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-1.7418E-05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52" w:type="pct"/>
            <w:vMerge w:val="continue"/>
            <w:vAlign w:val="center"/>
          </w:tcPr>
          <w:p>
            <w:pPr>
              <w:adjustRightInd w:val="0"/>
              <w:spacing w:line="360" w:lineRule="auto"/>
              <w:ind w:firstLine="360"/>
              <w:jc w:val="center"/>
              <w:rPr>
                <w:rFonts w:ascii="Times New Roman" w:hAnsi="Times New Roman" w:cs="Times New Roman" w:eastAsiaTheme="minorEastAsia"/>
                <w:b/>
                <w:bCs/>
                <w:color w:val="auto"/>
                <w:szCs w:val="21"/>
                <w:highlight w:val="yellow"/>
              </w:rPr>
            </w:pPr>
          </w:p>
        </w:tc>
        <w:tc>
          <w:tcPr>
            <w:tcW w:w="48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5</w:t>
            </w:r>
          </w:p>
        </w:tc>
        <w:tc>
          <w:tcPr>
            <w:tcW w:w="1098"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1.2441E-09</w:t>
            </w:r>
          </w:p>
        </w:tc>
        <w:tc>
          <w:tcPr>
            <w:tcW w:w="1035"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-8.965E-09</w:t>
            </w:r>
          </w:p>
        </w:tc>
        <w:tc>
          <w:tcPr>
            <w:tcW w:w="90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-1.6711E-08</w:t>
            </w:r>
          </w:p>
        </w:tc>
        <w:tc>
          <w:tcPr>
            <w:tcW w:w="1032" w:type="pct"/>
            <w:vAlign w:val="center"/>
          </w:tcPr>
          <w:p>
            <w:pPr>
              <w:spacing w:line="360" w:lineRule="auto"/>
              <w:jc w:val="center"/>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1.4697E-07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52" w:type="pct"/>
            <w:vMerge w:val="continue"/>
            <w:vAlign w:val="center"/>
          </w:tcPr>
          <w:p>
            <w:pPr>
              <w:adjustRightInd w:val="0"/>
              <w:spacing w:line="360" w:lineRule="auto"/>
              <w:ind w:firstLine="360"/>
              <w:jc w:val="center"/>
              <w:rPr>
                <w:rFonts w:ascii="Times New Roman" w:hAnsi="Times New Roman" w:cs="Times New Roman" w:eastAsiaTheme="minorEastAsia"/>
                <w:b/>
                <w:bCs/>
                <w:color w:val="auto"/>
                <w:szCs w:val="21"/>
                <w:highlight w:val="yellow"/>
              </w:rPr>
            </w:pPr>
          </w:p>
        </w:tc>
        <w:tc>
          <w:tcPr>
            <w:tcW w:w="48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6</w:t>
            </w:r>
          </w:p>
        </w:tc>
        <w:tc>
          <w:tcPr>
            <w:tcW w:w="1098"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-4.4709E-12</w:t>
            </w:r>
          </w:p>
        </w:tc>
        <w:tc>
          <w:tcPr>
            <w:tcW w:w="1035"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3.0271E-11</w:t>
            </w:r>
          </w:p>
        </w:tc>
        <w:tc>
          <w:tcPr>
            <w:tcW w:w="901" w:type="pct"/>
            <w:vAlign w:val="center"/>
          </w:tcPr>
          <w:p>
            <w:pPr>
              <w:spacing w:line="360" w:lineRule="auto"/>
              <w:jc w:val="center"/>
              <w:rPr>
                <w:rFonts w:ascii="Times New Roman" w:hAnsi="Times New Roman" w:cs="Times New Roman" w:eastAsiaTheme="minorEastAsia"/>
                <w:color w:val="auto"/>
                <w:szCs w:val="21"/>
                <w:highlight w:val="yellow"/>
              </w:rPr>
            </w:pPr>
            <w:r>
              <w:rPr>
                <w:rFonts w:ascii="Times New Roman" w:hAnsi="Times New Roman" w:cs="Times New Roman" w:eastAsiaTheme="minorEastAsia"/>
                <w:color w:val="auto"/>
                <w:szCs w:val="21"/>
              </w:rPr>
              <w:t>6.3329E-11</w:t>
            </w:r>
          </w:p>
        </w:tc>
        <w:tc>
          <w:tcPr>
            <w:tcW w:w="1032" w:type="pct"/>
            <w:vAlign w:val="center"/>
          </w:tcPr>
          <w:p>
            <w:pPr>
              <w:spacing w:line="360" w:lineRule="auto"/>
              <w:jc w:val="center"/>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-4.6974E-10</w:t>
            </w:r>
          </w:p>
        </w:tc>
      </w:tr>
    </w:tbl>
    <w:p>
      <w:pPr>
        <w:spacing w:before="120" w:beforeLines="50" w:line="360" w:lineRule="auto"/>
        <w:rPr>
          <w:sz w:val="24"/>
          <w:szCs w:val="21"/>
        </w:rPr>
      </w:pPr>
      <w:r>
        <w:rPr>
          <w:rFonts w:hint="eastAsia"/>
          <w:sz w:val="24"/>
          <w:szCs w:val="21"/>
        </w:rPr>
        <w:t>E</w:t>
      </w:r>
      <w:r>
        <w:rPr>
          <w:sz w:val="24"/>
          <w:szCs w:val="21"/>
        </w:rPr>
        <w:t>.0.</w:t>
      </w:r>
      <w:r>
        <w:rPr>
          <w:rFonts w:hint="eastAsia"/>
          <w:sz w:val="24"/>
          <w:szCs w:val="21"/>
        </w:rPr>
        <w:t>3</w:t>
      </w:r>
      <w:r>
        <w:rPr>
          <w:sz w:val="24"/>
          <w:szCs w:val="21"/>
        </w:rPr>
        <w:t xml:space="preserve"> </w:t>
      </w:r>
      <w:r>
        <w:rPr>
          <w:rFonts w:hint="eastAsia"/>
          <w:sz w:val="24"/>
          <w:szCs w:val="21"/>
        </w:rPr>
        <w:t>表E</w:t>
      </w:r>
      <w:r>
        <w:rPr>
          <w:sz w:val="24"/>
          <w:szCs w:val="21"/>
        </w:rPr>
        <w:t>.0.3</w:t>
      </w:r>
      <w:r>
        <w:rPr>
          <w:rFonts w:hint="eastAsia"/>
          <w:sz w:val="24"/>
          <w:szCs w:val="21"/>
        </w:rPr>
        <w:t>列出氢气在部分温度、压力时的压缩系数</w:t>
      </w:r>
      <w:r>
        <w:rPr>
          <w:rFonts w:hint="eastAsia"/>
          <w:i/>
          <w:sz w:val="24"/>
          <w:szCs w:val="21"/>
        </w:rPr>
        <w:t>Z</w:t>
      </w:r>
      <w:r>
        <w:rPr>
          <w:rFonts w:hint="eastAsia"/>
          <w:sz w:val="24"/>
          <w:szCs w:val="21"/>
        </w:rPr>
        <w:t>，供参考。</w:t>
      </w:r>
    </w:p>
    <w:p>
      <w:pPr>
        <w:spacing w:before="120" w:beforeLines="50" w:line="360" w:lineRule="auto"/>
        <w:ind w:firstLine="422" w:firstLineChars="200"/>
        <w:jc w:val="center"/>
        <w:rPr>
          <w:b/>
          <w:szCs w:val="21"/>
        </w:rPr>
      </w:pPr>
      <w:r>
        <w:rPr>
          <w:b/>
          <w:szCs w:val="21"/>
        </w:rPr>
        <w:t>表</w:t>
      </w:r>
      <w:r>
        <w:rPr>
          <w:rFonts w:hint="eastAsia"/>
          <w:b/>
          <w:szCs w:val="21"/>
        </w:rPr>
        <w:t>E</w:t>
      </w:r>
      <w:r>
        <w:rPr>
          <w:b/>
          <w:szCs w:val="21"/>
        </w:rPr>
        <w:t xml:space="preserve">.0.3 </w:t>
      </w:r>
      <w:r>
        <w:rPr>
          <w:rFonts w:hint="eastAsia"/>
          <w:b/>
          <w:szCs w:val="21"/>
        </w:rPr>
        <w:t>部分</w:t>
      </w:r>
      <w:r>
        <w:rPr>
          <w:b/>
          <w:szCs w:val="21"/>
        </w:rPr>
        <w:t>氢气压缩系数</w:t>
      </w:r>
      <w:r>
        <w:rPr>
          <w:i/>
          <w:szCs w:val="21"/>
        </w:rPr>
        <w:t>Z</w:t>
      </w:r>
      <w:r>
        <w:rPr>
          <w:b/>
          <w:szCs w:val="21"/>
        </w:rPr>
        <w:t xml:space="preserve"> </w:t>
      </w:r>
    </w:p>
    <w:tbl>
      <w:tblPr>
        <w:tblStyle w:val="17"/>
        <w:tblW w:w="8385" w:type="dxa"/>
        <w:jc w:val="center"/>
        <w:tblLayout w:type="autofit"/>
        <w:tblCellMar>
          <w:top w:w="0" w:type="dxa"/>
          <w:left w:w="108" w:type="dxa"/>
          <w:bottom w:w="0" w:type="dxa"/>
          <w:right w:w="108" w:type="dxa"/>
        </w:tblCellMar>
      </w:tblPr>
      <w:tblGrid>
        <w:gridCol w:w="1840"/>
        <w:gridCol w:w="935"/>
        <w:gridCol w:w="935"/>
        <w:gridCol w:w="935"/>
        <w:gridCol w:w="935"/>
        <w:gridCol w:w="935"/>
        <w:gridCol w:w="935"/>
        <w:gridCol w:w="935"/>
      </w:tblGrid>
      <w:tr>
        <w:tblPrEx>
          <w:tblCellMar>
            <w:top w:w="0" w:type="dxa"/>
            <w:left w:w="108" w:type="dxa"/>
            <w:bottom w:w="0" w:type="dxa"/>
            <w:right w:w="108" w:type="dxa"/>
          </w:tblCellMar>
        </w:tblPrEx>
        <w:trPr>
          <w:trHeight w:val="570" w:hRule="atLeast"/>
          <w:jc w:val="center"/>
        </w:trPr>
        <w:tc>
          <w:tcPr>
            <w:tcW w:w="1840" w:type="dxa"/>
            <w:tcBorders>
              <w:top w:val="single" w:color="auto" w:sz="4" w:space="0"/>
              <w:left w:val="single" w:color="auto" w:sz="4" w:space="0"/>
              <w:bottom w:val="single" w:color="auto" w:sz="4" w:space="0"/>
              <w:right w:val="single" w:color="auto" w:sz="4" w:space="0"/>
              <w:tl2br w:val="single" w:color="auto" w:sz="4" w:space="0"/>
            </w:tcBorders>
            <w:shd w:val="clear" w:color="auto" w:fill="auto"/>
          </w:tcPr>
          <w:p>
            <w:pPr>
              <w:widowControl/>
              <w:jc w:val="left"/>
              <w:rPr>
                <w:kern w:val="0"/>
                <w:szCs w:val="21"/>
                <w:highlight w:val="yellow"/>
              </w:rPr>
            </w:pPr>
            <w:r>
              <w:rPr>
                <w:kern w:val="0"/>
                <w:szCs w:val="21"/>
              </w:rPr>
              <w:t xml:space="preserve">       温度(℃)            压力(MPa)</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20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50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150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250</w:t>
            </w:r>
          </w:p>
        </w:tc>
      </w:tr>
      <w:tr>
        <w:tblPrEx>
          <w:tblCellMar>
            <w:top w:w="0" w:type="dxa"/>
            <w:left w:w="108" w:type="dxa"/>
            <w:bottom w:w="0" w:type="dxa"/>
            <w:right w:w="108" w:type="dxa"/>
          </w:tblCellMar>
        </w:tblPrEx>
        <w:trPr>
          <w:trHeight w:val="454"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0.1</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1.00073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1.00070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1.00065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1.00058</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1.00051</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1.00046</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1.00042</w:t>
            </w:r>
          </w:p>
        </w:tc>
      </w:tr>
      <w:tr>
        <w:tblPrEx>
          <w:tblCellMar>
            <w:top w:w="0" w:type="dxa"/>
            <w:left w:w="108" w:type="dxa"/>
            <w:bottom w:w="0" w:type="dxa"/>
            <w:right w:w="108" w:type="dxa"/>
          </w:tblCellMar>
        </w:tblPrEx>
        <w:trPr>
          <w:trHeight w:val="454"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1.00623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1.00599</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1.00564</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1.00509</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1.00460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1.00417</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1.00381</w:t>
            </w:r>
          </w:p>
        </w:tc>
      </w:tr>
      <w:tr>
        <w:tblPrEx>
          <w:tblCellMar>
            <w:top w:w="0" w:type="dxa"/>
            <w:left w:w="108" w:type="dxa"/>
            <w:bottom w:w="0" w:type="dxa"/>
            <w:right w:w="108" w:type="dxa"/>
          </w:tblCellMar>
        </w:tblPrEx>
        <w:trPr>
          <w:trHeight w:val="454"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1.03128</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1.02998</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1.02810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1.02526</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1.02280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1.02069</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1.01887</w:t>
            </w:r>
          </w:p>
        </w:tc>
      </w:tr>
      <w:tr>
        <w:tblPrEx>
          <w:tblCellMar>
            <w:top w:w="0" w:type="dxa"/>
            <w:left w:w="108" w:type="dxa"/>
            <w:bottom w:w="0" w:type="dxa"/>
            <w:right w:w="108" w:type="dxa"/>
          </w:tblCellMar>
        </w:tblPrEx>
        <w:trPr>
          <w:trHeight w:val="454"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1.06378</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1.06085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1.05676</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1.05075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1.04567</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1.04137</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1.03770</w:t>
            </w:r>
          </w:p>
        </w:tc>
      </w:tr>
      <w:tr>
        <w:tblPrEx>
          <w:tblCellMar>
            <w:top w:w="0" w:type="dxa"/>
            <w:left w:w="108" w:type="dxa"/>
            <w:bottom w:w="0" w:type="dxa"/>
            <w:right w:w="108" w:type="dxa"/>
          </w:tblCellMar>
        </w:tblPrEx>
        <w:trPr>
          <w:trHeight w:val="454"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1.09735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1.09253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1.08594</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1.07649</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1.06865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1.06208</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1.05650</w:t>
            </w:r>
          </w:p>
        </w:tc>
      </w:tr>
      <w:tr>
        <w:tblPrEx>
          <w:tblCellMar>
            <w:top w:w="0" w:type="dxa"/>
            <w:left w:w="108" w:type="dxa"/>
            <w:bottom w:w="0" w:type="dxa"/>
            <w:right w:w="108" w:type="dxa"/>
          </w:tblCellMar>
        </w:tblPrEx>
        <w:trPr>
          <w:trHeight w:val="454"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20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1.13175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1.12483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1.11553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1.10243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1.09171</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1.08280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1.07529</w:t>
            </w:r>
          </w:p>
        </w:tc>
      </w:tr>
      <w:tr>
        <w:tblPrEx>
          <w:tblCellMar>
            <w:top w:w="0" w:type="dxa"/>
            <w:left w:w="108" w:type="dxa"/>
            <w:bottom w:w="0" w:type="dxa"/>
            <w:right w:w="108" w:type="dxa"/>
          </w:tblCellMar>
        </w:tblPrEx>
        <w:trPr>
          <w:trHeight w:val="454"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25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1.16678</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1.15761</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1.14543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1.12851</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1.11481</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1.10352</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1.09405</w:t>
            </w:r>
          </w:p>
        </w:tc>
      </w:tr>
      <w:tr>
        <w:tblPrEx>
          <w:tblCellMar>
            <w:top w:w="0" w:type="dxa"/>
            <w:left w:w="108" w:type="dxa"/>
            <w:bottom w:w="0" w:type="dxa"/>
            <w:right w:w="108" w:type="dxa"/>
          </w:tblCellMar>
        </w:tblPrEx>
        <w:trPr>
          <w:trHeight w:val="454"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30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1.20228</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1.19073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1.17555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1.15469</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1.13795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1.12423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1.11278</w:t>
            </w:r>
          </w:p>
        </w:tc>
      </w:tr>
      <w:tr>
        <w:tblPrEx>
          <w:tblCellMar>
            <w:top w:w="0" w:type="dxa"/>
            <w:left w:w="108" w:type="dxa"/>
            <w:bottom w:w="0" w:type="dxa"/>
            <w:right w:w="108" w:type="dxa"/>
          </w:tblCellMar>
        </w:tblPrEx>
        <w:trPr>
          <w:trHeight w:val="454"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35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1.23809</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1.22410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1.20583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1.18093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1.16109</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1.14492</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1.13147</w:t>
            </w:r>
          </w:p>
        </w:tc>
      </w:tr>
      <w:tr>
        <w:tblPrEx>
          <w:tblCellMar>
            <w:top w:w="0" w:type="dxa"/>
            <w:left w:w="108" w:type="dxa"/>
            <w:bottom w:w="0" w:type="dxa"/>
            <w:right w:w="108" w:type="dxa"/>
          </w:tblCellMar>
        </w:tblPrEx>
        <w:trPr>
          <w:trHeight w:val="454"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40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1.27412</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1.25762</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1.23620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1.20719</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1.18423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1.16558</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1.15012</w:t>
            </w:r>
          </w:p>
        </w:tc>
      </w:tr>
      <w:tr>
        <w:tblPrEx>
          <w:tblCellMar>
            <w:top w:w="0" w:type="dxa"/>
            <w:left w:w="108" w:type="dxa"/>
            <w:bottom w:w="0" w:type="dxa"/>
            <w:right w:w="108" w:type="dxa"/>
          </w:tblCellMar>
        </w:tblPrEx>
        <w:trPr>
          <w:trHeight w:val="454"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45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1.31025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1.29122</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1.26660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1.23345</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1.20733</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1.18619</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1.16872</w:t>
            </w:r>
          </w:p>
        </w:tc>
      </w:tr>
      <w:tr>
        <w:tblPrEx>
          <w:tblCellMar>
            <w:top w:w="0" w:type="dxa"/>
            <w:left w:w="108" w:type="dxa"/>
            <w:bottom w:w="0" w:type="dxa"/>
            <w:right w:w="108" w:type="dxa"/>
          </w:tblCellMar>
        </w:tblPrEx>
        <w:trPr>
          <w:trHeight w:val="454" w:hRule="atLeast"/>
          <w:jc w:val="center"/>
        </w:trPr>
        <w:tc>
          <w:tcPr>
            <w:tcW w:w="18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50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1.34644</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1.32484</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1.29701</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1.25968</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1.23040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highlight w:val="yellow"/>
              </w:rPr>
            </w:pPr>
            <w:r>
              <w:rPr>
                <w:kern w:val="0"/>
                <w:szCs w:val="21"/>
              </w:rPr>
              <w:t>1.20676</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Cs w:val="21"/>
              </w:rPr>
            </w:pPr>
            <w:r>
              <w:rPr>
                <w:kern w:val="0"/>
                <w:szCs w:val="21"/>
              </w:rPr>
              <w:t>1.18726</w:t>
            </w:r>
          </w:p>
        </w:tc>
      </w:tr>
    </w:tbl>
    <w:p>
      <w:pPr>
        <w:pStyle w:val="8"/>
        <w:ind w:firstLine="840" w:firstLineChars="400"/>
        <w:rPr>
          <w:sz w:val="21"/>
          <w:szCs w:val="21"/>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rPr>
    </w:pPr>
    <w:r>
      <w:rPr>
        <w:rStyle w:val="21"/>
      </w:rPr>
      <w:fldChar w:fldCharType="begin"/>
    </w:r>
    <w:r>
      <w:rPr>
        <w:rStyle w:val="21"/>
      </w:rPr>
      <w:instrText xml:space="preserve"> PAGE </w:instrText>
    </w:r>
    <w:r>
      <w:rPr>
        <w:rStyle w:val="21"/>
      </w:rPr>
      <w:fldChar w:fldCharType="separate"/>
    </w:r>
    <w:r>
      <w:rPr>
        <w:rStyle w:val="21"/>
      </w:rPr>
      <w:t>14</w:t>
    </w:r>
    <w:r>
      <w:rPr>
        <w:rStyle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drawingGridHorizontalSpacing w:val="21"/>
  <w:drawingGridVerticalSpacing w:val="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3NWE5ZmMyYzI1Mzg2NjU5MzgwMjM3NWFkODMwMTIifQ=="/>
  </w:docVars>
  <w:rsids>
    <w:rsidRoot w:val="00C47029"/>
    <w:rsid w:val="00001C56"/>
    <w:rsid w:val="00010158"/>
    <w:rsid w:val="00010804"/>
    <w:rsid w:val="00010F42"/>
    <w:rsid w:val="00011C3D"/>
    <w:rsid w:val="00011E52"/>
    <w:rsid w:val="0001236E"/>
    <w:rsid w:val="00015045"/>
    <w:rsid w:val="000152B4"/>
    <w:rsid w:val="00016CE3"/>
    <w:rsid w:val="00016FBE"/>
    <w:rsid w:val="00017334"/>
    <w:rsid w:val="0001772F"/>
    <w:rsid w:val="000225D3"/>
    <w:rsid w:val="00022B12"/>
    <w:rsid w:val="00023541"/>
    <w:rsid w:val="00023B96"/>
    <w:rsid w:val="000278BE"/>
    <w:rsid w:val="00027BFE"/>
    <w:rsid w:val="00031B91"/>
    <w:rsid w:val="0003483C"/>
    <w:rsid w:val="000352DF"/>
    <w:rsid w:val="00035B8C"/>
    <w:rsid w:val="0004375F"/>
    <w:rsid w:val="00047684"/>
    <w:rsid w:val="0005084E"/>
    <w:rsid w:val="00051364"/>
    <w:rsid w:val="00053610"/>
    <w:rsid w:val="000547EC"/>
    <w:rsid w:val="000564BC"/>
    <w:rsid w:val="0005715B"/>
    <w:rsid w:val="00060C31"/>
    <w:rsid w:val="00060F77"/>
    <w:rsid w:val="00065C19"/>
    <w:rsid w:val="00070D9C"/>
    <w:rsid w:val="00072167"/>
    <w:rsid w:val="0007452F"/>
    <w:rsid w:val="00074E12"/>
    <w:rsid w:val="00077586"/>
    <w:rsid w:val="00082245"/>
    <w:rsid w:val="000848A4"/>
    <w:rsid w:val="00086EC7"/>
    <w:rsid w:val="00090954"/>
    <w:rsid w:val="000925C2"/>
    <w:rsid w:val="000930F5"/>
    <w:rsid w:val="00094557"/>
    <w:rsid w:val="00097817"/>
    <w:rsid w:val="000A07D5"/>
    <w:rsid w:val="000A4EB6"/>
    <w:rsid w:val="000A55E1"/>
    <w:rsid w:val="000B0467"/>
    <w:rsid w:val="000B05D9"/>
    <w:rsid w:val="000B1A64"/>
    <w:rsid w:val="000B1E0A"/>
    <w:rsid w:val="000B279D"/>
    <w:rsid w:val="000B28CC"/>
    <w:rsid w:val="000B3D7D"/>
    <w:rsid w:val="000B48AE"/>
    <w:rsid w:val="000B4AA2"/>
    <w:rsid w:val="000B4CBD"/>
    <w:rsid w:val="000B5B2D"/>
    <w:rsid w:val="000B5D81"/>
    <w:rsid w:val="000C0752"/>
    <w:rsid w:val="000C09E6"/>
    <w:rsid w:val="000C0BEC"/>
    <w:rsid w:val="000C19C2"/>
    <w:rsid w:val="000C2127"/>
    <w:rsid w:val="000C5357"/>
    <w:rsid w:val="000C6511"/>
    <w:rsid w:val="000D05E4"/>
    <w:rsid w:val="000D4FE1"/>
    <w:rsid w:val="000E2122"/>
    <w:rsid w:val="000E2B9D"/>
    <w:rsid w:val="000E371A"/>
    <w:rsid w:val="000E5A8E"/>
    <w:rsid w:val="000E72E4"/>
    <w:rsid w:val="000E7E75"/>
    <w:rsid w:val="000F0CD4"/>
    <w:rsid w:val="000F371B"/>
    <w:rsid w:val="001013AE"/>
    <w:rsid w:val="00101970"/>
    <w:rsid w:val="00105AE5"/>
    <w:rsid w:val="001069E7"/>
    <w:rsid w:val="00106D47"/>
    <w:rsid w:val="00107039"/>
    <w:rsid w:val="00107FFC"/>
    <w:rsid w:val="0011408A"/>
    <w:rsid w:val="00116023"/>
    <w:rsid w:val="0012542F"/>
    <w:rsid w:val="0012596C"/>
    <w:rsid w:val="00125D66"/>
    <w:rsid w:val="00133038"/>
    <w:rsid w:val="00137588"/>
    <w:rsid w:val="00140459"/>
    <w:rsid w:val="00144368"/>
    <w:rsid w:val="001504E7"/>
    <w:rsid w:val="00152DD1"/>
    <w:rsid w:val="0016097D"/>
    <w:rsid w:val="00160F55"/>
    <w:rsid w:val="00160FCB"/>
    <w:rsid w:val="00163026"/>
    <w:rsid w:val="001644DB"/>
    <w:rsid w:val="001646BE"/>
    <w:rsid w:val="00166120"/>
    <w:rsid w:val="001665E5"/>
    <w:rsid w:val="00166CA5"/>
    <w:rsid w:val="00172D85"/>
    <w:rsid w:val="0017317E"/>
    <w:rsid w:val="00174CA6"/>
    <w:rsid w:val="001764C8"/>
    <w:rsid w:val="001777D6"/>
    <w:rsid w:val="00177829"/>
    <w:rsid w:val="00177843"/>
    <w:rsid w:val="00181E7A"/>
    <w:rsid w:val="00183D22"/>
    <w:rsid w:val="00194CAF"/>
    <w:rsid w:val="00197742"/>
    <w:rsid w:val="001A0EFA"/>
    <w:rsid w:val="001A2AC9"/>
    <w:rsid w:val="001A301F"/>
    <w:rsid w:val="001A34B0"/>
    <w:rsid w:val="001A47B3"/>
    <w:rsid w:val="001A5119"/>
    <w:rsid w:val="001A63FC"/>
    <w:rsid w:val="001B02EC"/>
    <w:rsid w:val="001B24BF"/>
    <w:rsid w:val="001B3782"/>
    <w:rsid w:val="001B3DF0"/>
    <w:rsid w:val="001B4646"/>
    <w:rsid w:val="001B5B04"/>
    <w:rsid w:val="001C224D"/>
    <w:rsid w:val="001D03EC"/>
    <w:rsid w:val="001D3539"/>
    <w:rsid w:val="001D3AC0"/>
    <w:rsid w:val="001E46E3"/>
    <w:rsid w:val="001F5F75"/>
    <w:rsid w:val="00201179"/>
    <w:rsid w:val="0020132E"/>
    <w:rsid w:val="00201DE6"/>
    <w:rsid w:val="002020A6"/>
    <w:rsid w:val="00203A23"/>
    <w:rsid w:val="00212265"/>
    <w:rsid w:val="00214C75"/>
    <w:rsid w:val="00214C94"/>
    <w:rsid w:val="00217423"/>
    <w:rsid w:val="0022374A"/>
    <w:rsid w:val="00226AF2"/>
    <w:rsid w:val="00227821"/>
    <w:rsid w:val="00231390"/>
    <w:rsid w:val="00232EDD"/>
    <w:rsid w:val="0024550F"/>
    <w:rsid w:val="00245A8E"/>
    <w:rsid w:val="00246B04"/>
    <w:rsid w:val="0024743E"/>
    <w:rsid w:val="00260EE8"/>
    <w:rsid w:val="002627C4"/>
    <w:rsid w:val="002630A8"/>
    <w:rsid w:val="00263AE8"/>
    <w:rsid w:val="0026401F"/>
    <w:rsid w:val="00265E20"/>
    <w:rsid w:val="0027487A"/>
    <w:rsid w:val="00274B1F"/>
    <w:rsid w:val="002750BA"/>
    <w:rsid w:val="002750C3"/>
    <w:rsid w:val="00277822"/>
    <w:rsid w:val="002836EC"/>
    <w:rsid w:val="002839E2"/>
    <w:rsid w:val="00290B9A"/>
    <w:rsid w:val="00291ED9"/>
    <w:rsid w:val="00292374"/>
    <w:rsid w:val="00293811"/>
    <w:rsid w:val="002A1030"/>
    <w:rsid w:val="002A2DE4"/>
    <w:rsid w:val="002A468D"/>
    <w:rsid w:val="002A4CD1"/>
    <w:rsid w:val="002A76DD"/>
    <w:rsid w:val="002B1BEC"/>
    <w:rsid w:val="002B37FA"/>
    <w:rsid w:val="002C1284"/>
    <w:rsid w:val="002C26E4"/>
    <w:rsid w:val="002C5390"/>
    <w:rsid w:val="002C754C"/>
    <w:rsid w:val="002D121F"/>
    <w:rsid w:val="002D2B46"/>
    <w:rsid w:val="002D313D"/>
    <w:rsid w:val="002D3B28"/>
    <w:rsid w:val="002D4DA4"/>
    <w:rsid w:val="002D718C"/>
    <w:rsid w:val="002E25B8"/>
    <w:rsid w:val="002E467B"/>
    <w:rsid w:val="002E4AD4"/>
    <w:rsid w:val="002E6326"/>
    <w:rsid w:val="002E7873"/>
    <w:rsid w:val="002F0DF5"/>
    <w:rsid w:val="002F130F"/>
    <w:rsid w:val="002F17FE"/>
    <w:rsid w:val="002F463D"/>
    <w:rsid w:val="002F5733"/>
    <w:rsid w:val="0030058D"/>
    <w:rsid w:val="00300CFC"/>
    <w:rsid w:val="00302F4F"/>
    <w:rsid w:val="00303195"/>
    <w:rsid w:val="0030392A"/>
    <w:rsid w:val="00305860"/>
    <w:rsid w:val="00306770"/>
    <w:rsid w:val="003137AC"/>
    <w:rsid w:val="003139DF"/>
    <w:rsid w:val="00314B44"/>
    <w:rsid w:val="00321AE7"/>
    <w:rsid w:val="003223C2"/>
    <w:rsid w:val="0032420F"/>
    <w:rsid w:val="0032498E"/>
    <w:rsid w:val="00326464"/>
    <w:rsid w:val="00327D57"/>
    <w:rsid w:val="003315DA"/>
    <w:rsid w:val="00337111"/>
    <w:rsid w:val="00337375"/>
    <w:rsid w:val="00337A65"/>
    <w:rsid w:val="00340314"/>
    <w:rsid w:val="00340F40"/>
    <w:rsid w:val="003414C0"/>
    <w:rsid w:val="003450ED"/>
    <w:rsid w:val="00346BD7"/>
    <w:rsid w:val="00347980"/>
    <w:rsid w:val="00347D13"/>
    <w:rsid w:val="00356D83"/>
    <w:rsid w:val="0035712B"/>
    <w:rsid w:val="003573E0"/>
    <w:rsid w:val="00357CAE"/>
    <w:rsid w:val="00360699"/>
    <w:rsid w:val="00360BDF"/>
    <w:rsid w:val="003671C7"/>
    <w:rsid w:val="0036723E"/>
    <w:rsid w:val="00370523"/>
    <w:rsid w:val="00375691"/>
    <w:rsid w:val="00376248"/>
    <w:rsid w:val="003762A2"/>
    <w:rsid w:val="00376D77"/>
    <w:rsid w:val="003812D4"/>
    <w:rsid w:val="00382E13"/>
    <w:rsid w:val="00383838"/>
    <w:rsid w:val="00384A14"/>
    <w:rsid w:val="00384C9E"/>
    <w:rsid w:val="00385D95"/>
    <w:rsid w:val="00390674"/>
    <w:rsid w:val="00391E05"/>
    <w:rsid w:val="0039203D"/>
    <w:rsid w:val="00392658"/>
    <w:rsid w:val="0039332E"/>
    <w:rsid w:val="00396997"/>
    <w:rsid w:val="00396A23"/>
    <w:rsid w:val="00397739"/>
    <w:rsid w:val="003A2B91"/>
    <w:rsid w:val="003B33D9"/>
    <w:rsid w:val="003B466A"/>
    <w:rsid w:val="003C0840"/>
    <w:rsid w:val="003C0F21"/>
    <w:rsid w:val="003C5795"/>
    <w:rsid w:val="003D06C1"/>
    <w:rsid w:val="003D07BB"/>
    <w:rsid w:val="003D0C33"/>
    <w:rsid w:val="003D1A4C"/>
    <w:rsid w:val="003D2BAB"/>
    <w:rsid w:val="003D6DC6"/>
    <w:rsid w:val="003D7632"/>
    <w:rsid w:val="003E0B2E"/>
    <w:rsid w:val="003E3570"/>
    <w:rsid w:val="003E578D"/>
    <w:rsid w:val="003F1B3C"/>
    <w:rsid w:val="003F2625"/>
    <w:rsid w:val="003F2748"/>
    <w:rsid w:val="003F3CED"/>
    <w:rsid w:val="003F502F"/>
    <w:rsid w:val="00400D06"/>
    <w:rsid w:val="00404DAE"/>
    <w:rsid w:val="00407B47"/>
    <w:rsid w:val="00411E6A"/>
    <w:rsid w:val="00414D59"/>
    <w:rsid w:val="004210B8"/>
    <w:rsid w:val="004221E4"/>
    <w:rsid w:val="00423B91"/>
    <w:rsid w:val="00424444"/>
    <w:rsid w:val="0042456B"/>
    <w:rsid w:val="004245DC"/>
    <w:rsid w:val="0043037F"/>
    <w:rsid w:val="004304D6"/>
    <w:rsid w:val="004338D6"/>
    <w:rsid w:val="00436CD4"/>
    <w:rsid w:val="00441E35"/>
    <w:rsid w:val="00445806"/>
    <w:rsid w:val="00445906"/>
    <w:rsid w:val="004465AA"/>
    <w:rsid w:val="00454F01"/>
    <w:rsid w:val="00456C92"/>
    <w:rsid w:val="00456F3A"/>
    <w:rsid w:val="00462B43"/>
    <w:rsid w:val="004631A5"/>
    <w:rsid w:val="004634ED"/>
    <w:rsid w:val="004658B6"/>
    <w:rsid w:val="00471282"/>
    <w:rsid w:val="00472CD2"/>
    <w:rsid w:val="004740DF"/>
    <w:rsid w:val="0048062B"/>
    <w:rsid w:val="004845FC"/>
    <w:rsid w:val="00485CCF"/>
    <w:rsid w:val="004867CE"/>
    <w:rsid w:val="00487917"/>
    <w:rsid w:val="0049014D"/>
    <w:rsid w:val="004911CB"/>
    <w:rsid w:val="00494E82"/>
    <w:rsid w:val="00496B1C"/>
    <w:rsid w:val="004A1338"/>
    <w:rsid w:val="004A3047"/>
    <w:rsid w:val="004A3710"/>
    <w:rsid w:val="004A4F3C"/>
    <w:rsid w:val="004A7056"/>
    <w:rsid w:val="004B1B03"/>
    <w:rsid w:val="004B3620"/>
    <w:rsid w:val="004B454B"/>
    <w:rsid w:val="004B58C3"/>
    <w:rsid w:val="004B7793"/>
    <w:rsid w:val="004C1F86"/>
    <w:rsid w:val="004C21B3"/>
    <w:rsid w:val="004C59C9"/>
    <w:rsid w:val="004C5BF2"/>
    <w:rsid w:val="004C78B3"/>
    <w:rsid w:val="004D2303"/>
    <w:rsid w:val="004E0C93"/>
    <w:rsid w:val="004E186F"/>
    <w:rsid w:val="004E4462"/>
    <w:rsid w:val="004E5B87"/>
    <w:rsid w:val="004F223F"/>
    <w:rsid w:val="004F31F9"/>
    <w:rsid w:val="004F6697"/>
    <w:rsid w:val="00501F1E"/>
    <w:rsid w:val="005031FB"/>
    <w:rsid w:val="00503517"/>
    <w:rsid w:val="005056BB"/>
    <w:rsid w:val="005069B2"/>
    <w:rsid w:val="00510668"/>
    <w:rsid w:val="0051331D"/>
    <w:rsid w:val="00517D2B"/>
    <w:rsid w:val="0052345E"/>
    <w:rsid w:val="00523E66"/>
    <w:rsid w:val="00525687"/>
    <w:rsid w:val="00531F8E"/>
    <w:rsid w:val="00532853"/>
    <w:rsid w:val="005331FC"/>
    <w:rsid w:val="00536C58"/>
    <w:rsid w:val="005408E4"/>
    <w:rsid w:val="00543C54"/>
    <w:rsid w:val="00543C8D"/>
    <w:rsid w:val="005454E9"/>
    <w:rsid w:val="0055017C"/>
    <w:rsid w:val="00551249"/>
    <w:rsid w:val="00563203"/>
    <w:rsid w:val="00564B67"/>
    <w:rsid w:val="00570C41"/>
    <w:rsid w:val="00573103"/>
    <w:rsid w:val="0057376B"/>
    <w:rsid w:val="005742AD"/>
    <w:rsid w:val="00574FE9"/>
    <w:rsid w:val="005768A1"/>
    <w:rsid w:val="005810F0"/>
    <w:rsid w:val="00583F7C"/>
    <w:rsid w:val="00586401"/>
    <w:rsid w:val="00586455"/>
    <w:rsid w:val="00590645"/>
    <w:rsid w:val="00590BB0"/>
    <w:rsid w:val="00593993"/>
    <w:rsid w:val="005A04E9"/>
    <w:rsid w:val="005A1296"/>
    <w:rsid w:val="005A1AEB"/>
    <w:rsid w:val="005A3127"/>
    <w:rsid w:val="005A3E34"/>
    <w:rsid w:val="005B2A44"/>
    <w:rsid w:val="005B3935"/>
    <w:rsid w:val="005B6244"/>
    <w:rsid w:val="005B7DE0"/>
    <w:rsid w:val="005C0544"/>
    <w:rsid w:val="005C2266"/>
    <w:rsid w:val="005C266E"/>
    <w:rsid w:val="005C37F5"/>
    <w:rsid w:val="005C3FE6"/>
    <w:rsid w:val="005C4A61"/>
    <w:rsid w:val="005C524F"/>
    <w:rsid w:val="005C544E"/>
    <w:rsid w:val="005C7292"/>
    <w:rsid w:val="005C7699"/>
    <w:rsid w:val="005D0722"/>
    <w:rsid w:val="005D13E8"/>
    <w:rsid w:val="005D26D8"/>
    <w:rsid w:val="005D52B9"/>
    <w:rsid w:val="005D6E94"/>
    <w:rsid w:val="005E3011"/>
    <w:rsid w:val="005E30C8"/>
    <w:rsid w:val="005E5138"/>
    <w:rsid w:val="005E6790"/>
    <w:rsid w:val="005F0233"/>
    <w:rsid w:val="005F18B6"/>
    <w:rsid w:val="005F5F30"/>
    <w:rsid w:val="005F65A0"/>
    <w:rsid w:val="00600E33"/>
    <w:rsid w:val="006014C6"/>
    <w:rsid w:val="00601878"/>
    <w:rsid w:val="006018BB"/>
    <w:rsid w:val="006020CD"/>
    <w:rsid w:val="00607B57"/>
    <w:rsid w:val="0061083C"/>
    <w:rsid w:val="006115A5"/>
    <w:rsid w:val="00612369"/>
    <w:rsid w:val="00612D0B"/>
    <w:rsid w:val="006134AD"/>
    <w:rsid w:val="00614EF2"/>
    <w:rsid w:val="006160A9"/>
    <w:rsid w:val="0061631C"/>
    <w:rsid w:val="00620296"/>
    <w:rsid w:val="0062101C"/>
    <w:rsid w:val="0063100B"/>
    <w:rsid w:val="00633F12"/>
    <w:rsid w:val="006349A2"/>
    <w:rsid w:val="0063762D"/>
    <w:rsid w:val="0064017E"/>
    <w:rsid w:val="006411FE"/>
    <w:rsid w:val="00643C2F"/>
    <w:rsid w:val="00645B98"/>
    <w:rsid w:val="00647660"/>
    <w:rsid w:val="0064787A"/>
    <w:rsid w:val="00651375"/>
    <w:rsid w:val="00651736"/>
    <w:rsid w:val="00654ABF"/>
    <w:rsid w:val="00661E53"/>
    <w:rsid w:val="00662873"/>
    <w:rsid w:val="00662E73"/>
    <w:rsid w:val="00663E73"/>
    <w:rsid w:val="0066742D"/>
    <w:rsid w:val="00670EC2"/>
    <w:rsid w:val="006731AE"/>
    <w:rsid w:val="00674643"/>
    <w:rsid w:val="006751AE"/>
    <w:rsid w:val="0067703E"/>
    <w:rsid w:val="0067711D"/>
    <w:rsid w:val="00680B21"/>
    <w:rsid w:val="00681E50"/>
    <w:rsid w:val="006856B6"/>
    <w:rsid w:val="006920C6"/>
    <w:rsid w:val="00696B3B"/>
    <w:rsid w:val="006A0444"/>
    <w:rsid w:val="006A0F5E"/>
    <w:rsid w:val="006A19FB"/>
    <w:rsid w:val="006A2D78"/>
    <w:rsid w:val="006A5D85"/>
    <w:rsid w:val="006B06DC"/>
    <w:rsid w:val="006B2364"/>
    <w:rsid w:val="006B337C"/>
    <w:rsid w:val="006B3E10"/>
    <w:rsid w:val="006C1E2A"/>
    <w:rsid w:val="006C4C3D"/>
    <w:rsid w:val="006C595C"/>
    <w:rsid w:val="006C63E4"/>
    <w:rsid w:val="006C7937"/>
    <w:rsid w:val="006D25E7"/>
    <w:rsid w:val="006D3F31"/>
    <w:rsid w:val="006D4B95"/>
    <w:rsid w:val="006D50F6"/>
    <w:rsid w:val="006D601F"/>
    <w:rsid w:val="006D632A"/>
    <w:rsid w:val="006D6D74"/>
    <w:rsid w:val="006E262E"/>
    <w:rsid w:val="006E30BA"/>
    <w:rsid w:val="006E4986"/>
    <w:rsid w:val="006E55AC"/>
    <w:rsid w:val="006E7CF3"/>
    <w:rsid w:val="006F050E"/>
    <w:rsid w:val="006F0BD0"/>
    <w:rsid w:val="006F5087"/>
    <w:rsid w:val="00705A28"/>
    <w:rsid w:val="007070A2"/>
    <w:rsid w:val="0070746F"/>
    <w:rsid w:val="0071046F"/>
    <w:rsid w:val="0071515B"/>
    <w:rsid w:val="00721912"/>
    <w:rsid w:val="007243EC"/>
    <w:rsid w:val="007256D7"/>
    <w:rsid w:val="0072633D"/>
    <w:rsid w:val="00727311"/>
    <w:rsid w:val="007348D5"/>
    <w:rsid w:val="00736921"/>
    <w:rsid w:val="0073763B"/>
    <w:rsid w:val="00737E67"/>
    <w:rsid w:val="00740B54"/>
    <w:rsid w:val="0074324B"/>
    <w:rsid w:val="00743A17"/>
    <w:rsid w:val="00744C91"/>
    <w:rsid w:val="00751528"/>
    <w:rsid w:val="007548D0"/>
    <w:rsid w:val="00757377"/>
    <w:rsid w:val="00762320"/>
    <w:rsid w:val="00762BE6"/>
    <w:rsid w:val="00762D86"/>
    <w:rsid w:val="007631FD"/>
    <w:rsid w:val="00767D8A"/>
    <w:rsid w:val="00770E8B"/>
    <w:rsid w:val="007712E5"/>
    <w:rsid w:val="00771870"/>
    <w:rsid w:val="00772173"/>
    <w:rsid w:val="00775583"/>
    <w:rsid w:val="00776EAB"/>
    <w:rsid w:val="00777A7F"/>
    <w:rsid w:val="007802DA"/>
    <w:rsid w:val="00782081"/>
    <w:rsid w:val="00782DFB"/>
    <w:rsid w:val="00784592"/>
    <w:rsid w:val="007848B1"/>
    <w:rsid w:val="00786297"/>
    <w:rsid w:val="0078740C"/>
    <w:rsid w:val="00787690"/>
    <w:rsid w:val="00790645"/>
    <w:rsid w:val="00794529"/>
    <w:rsid w:val="007A0DB8"/>
    <w:rsid w:val="007A695C"/>
    <w:rsid w:val="007B23B3"/>
    <w:rsid w:val="007B244A"/>
    <w:rsid w:val="007B4CCD"/>
    <w:rsid w:val="007B6AAF"/>
    <w:rsid w:val="007C0854"/>
    <w:rsid w:val="007C0EC4"/>
    <w:rsid w:val="007C2BCD"/>
    <w:rsid w:val="007C7C5E"/>
    <w:rsid w:val="007D1AFC"/>
    <w:rsid w:val="007D2CD8"/>
    <w:rsid w:val="007D2F10"/>
    <w:rsid w:val="007D5393"/>
    <w:rsid w:val="007D56FF"/>
    <w:rsid w:val="007D5C69"/>
    <w:rsid w:val="007E00B0"/>
    <w:rsid w:val="007E2BB7"/>
    <w:rsid w:val="007E5CB9"/>
    <w:rsid w:val="007F1AD2"/>
    <w:rsid w:val="007F589E"/>
    <w:rsid w:val="007F5BE1"/>
    <w:rsid w:val="008030DC"/>
    <w:rsid w:val="008113F2"/>
    <w:rsid w:val="00811BF9"/>
    <w:rsid w:val="0081475A"/>
    <w:rsid w:val="00816C17"/>
    <w:rsid w:val="00823BF2"/>
    <w:rsid w:val="0082504F"/>
    <w:rsid w:val="008267E3"/>
    <w:rsid w:val="00826EC2"/>
    <w:rsid w:val="00827AAD"/>
    <w:rsid w:val="00833214"/>
    <w:rsid w:val="00833ABE"/>
    <w:rsid w:val="00835E9C"/>
    <w:rsid w:val="00836297"/>
    <w:rsid w:val="00836583"/>
    <w:rsid w:val="00841E7E"/>
    <w:rsid w:val="008503F6"/>
    <w:rsid w:val="00850EBB"/>
    <w:rsid w:val="00853037"/>
    <w:rsid w:val="008541E3"/>
    <w:rsid w:val="008603A8"/>
    <w:rsid w:val="00860E3A"/>
    <w:rsid w:val="00864ACA"/>
    <w:rsid w:val="00864EB9"/>
    <w:rsid w:val="0086564E"/>
    <w:rsid w:val="00867149"/>
    <w:rsid w:val="0087022D"/>
    <w:rsid w:val="00872387"/>
    <w:rsid w:val="00876F1B"/>
    <w:rsid w:val="0088113C"/>
    <w:rsid w:val="00881D50"/>
    <w:rsid w:val="00882292"/>
    <w:rsid w:val="00883546"/>
    <w:rsid w:val="00883B41"/>
    <w:rsid w:val="0089421C"/>
    <w:rsid w:val="00895720"/>
    <w:rsid w:val="0089681A"/>
    <w:rsid w:val="00897A74"/>
    <w:rsid w:val="008A0C5D"/>
    <w:rsid w:val="008A2570"/>
    <w:rsid w:val="008A397F"/>
    <w:rsid w:val="008A5BFE"/>
    <w:rsid w:val="008A7CCA"/>
    <w:rsid w:val="008B0D99"/>
    <w:rsid w:val="008B3578"/>
    <w:rsid w:val="008B3727"/>
    <w:rsid w:val="008B3B9E"/>
    <w:rsid w:val="008C03AE"/>
    <w:rsid w:val="008C42A8"/>
    <w:rsid w:val="008C5BB1"/>
    <w:rsid w:val="008C6AEF"/>
    <w:rsid w:val="008D0367"/>
    <w:rsid w:val="008D173C"/>
    <w:rsid w:val="008D547B"/>
    <w:rsid w:val="008D6062"/>
    <w:rsid w:val="008D63AF"/>
    <w:rsid w:val="008D68EE"/>
    <w:rsid w:val="008D77CE"/>
    <w:rsid w:val="008D7D62"/>
    <w:rsid w:val="008E1072"/>
    <w:rsid w:val="008E1935"/>
    <w:rsid w:val="008E21B3"/>
    <w:rsid w:val="008E2B3D"/>
    <w:rsid w:val="008E2E84"/>
    <w:rsid w:val="008E620F"/>
    <w:rsid w:val="008E6EEE"/>
    <w:rsid w:val="008E7767"/>
    <w:rsid w:val="008E7950"/>
    <w:rsid w:val="008E7D1E"/>
    <w:rsid w:val="008F17BE"/>
    <w:rsid w:val="008F1A31"/>
    <w:rsid w:val="008F40A3"/>
    <w:rsid w:val="008F7084"/>
    <w:rsid w:val="00901EE1"/>
    <w:rsid w:val="00903740"/>
    <w:rsid w:val="00903E71"/>
    <w:rsid w:val="00904C5B"/>
    <w:rsid w:val="00904C6B"/>
    <w:rsid w:val="00905048"/>
    <w:rsid w:val="00906725"/>
    <w:rsid w:val="00907754"/>
    <w:rsid w:val="009110A8"/>
    <w:rsid w:val="00917D09"/>
    <w:rsid w:val="0092010C"/>
    <w:rsid w:val="0092181E"/>
    <w:rsid w:val="00922D84"/>
    <w:rsid w:val="00923AAC"/>
    <w:rsid w:val="0092773D"/>
    <w:rsid w:val="00927D97"/>
    <w:rsid w:val="009342A5"/>
    <w:rsid w:val="00936173"/>
    <w:rsid w:val="0093787E"/>
    <w:rsid w:val="00940A74"/>
    <w:rsid w:val="009461AD"/>
    <w:rsid w:val="00952925"/>
    <w:rsid w:val="00953F1F"/>
    <w:rsid w:val="009613E9"/>
    <w:rsid w:val="0096177E"/>
    <w:rsid w:val="009618C0"/>
    <w:rsid w:val="0096268A"/>
    <w:rsid w:val="009638E2"/>
    <w:rsid w:val="00970427"/>
    <w:rsid w:val="009718B3"/>
    <w:rsid w:val="0097394C"/>
    <w:rsid w:val="009801BA"/>
    <w:rsid w:val="00984FEF"/>
    <w:rsid w:val="009869B8"/>
    <w:rsid w:val="00991203"/>
    <w:rsid w:val="0099243B"/>
    <w:rsid w:val="009941DC"/>
    <w:rsid w:val="009942D4"/>
    <w:rsid w:val="00995D31"/>
    <w:rsid w:val="009A0682"/>
    <w:rsid w:val="009A3873"/>
    <w:rsid w:val="009B1431"/>
    <w:rsid w:val="009B4823"/>
    <w:rsid w:val="009B7E72"/>
    <w:rsid w:val="009C01D5"/>
    <w:rsid w:val="009C0626"/>
    <w:rsid w:val="009C2A62"/>
    <w:rsid w:val="009C3C7D"/>
    <w:rsid w:val="009C48D5"/>
    <w:rsid w:val="009C6D34"/>
    <w:rsid w:val="009D1399"/>
    <w:rsid w:val="009D2747"/>
    <w:rsid w:val="009D432F"/>
    <w:rsid w:val="009D449E"/>
    <w:rsid w:val="009D557B"/>
    <w:rsid w:val="009D6681"/>
    <w:rsid w:val="009E2272"/>
    <w:rsid w:val="009E37F6"/>
    <w:rsid w:val="009E3CD4"/>
    <w:rsid w:val="009E411F"/>
    <w:rsid w:val="009E52E2"/>
    <w:rsid w:val="009E562D"/>
    <w:rsid w:val="009F30FA"/>
    <w:rsid w:val="009F538E"/>
    <w:rsid w:val="009F7D8C"/>
    <w:rsid w:val="00A02746"/>
    <w:rsid w:val="00A03BAD"/>
    <w:rsid w:val="00A057A8"/>
    <w:rsid w:val="00A07383"/>
    <w:rsid w:val="00A10A4B"/>
    <w:rsid w:val="00A1189A"/>
    <w:rsid w:val="00A12E8B"/>
    <w:rsid w:val="00A13D47"/>
    <w:rsid w:val="00A1566E"/>
    <w:rsid w:val="00A15D92"/>
    <w:rsid w:val="00A16265"/>
    <w:rsid w:val="00A21C5D"/>
    <w:rsid w:val="00A324BA"/>
    <w:rsid w:val="00A327F2"/>
    <w:rsid w:val="00A35093"/>
    <w:rsid w:val="00A36A22"/>
    <w:rsid w:val="00A40ACB"/>
    <w:rsid w:val="00A41234"/>
    <w:rsid w:val="00A4316A"/>
    <w:rsid w:val="00A46559"/>
    <w:rsid w:val="00A50E1C"/>
    <w:rsid w:val="00A53453"/>
    <w:rsid w:val="00A5369F"/>
    <w:rsid w:val="00A55C16"/>
    <w:rsid w:val="00A56C21"/>
    <w:rsid w:val="00A57C46"/>
    <w:rsid w:val="00A61255"/>
    <w:rsid w:val="00A6388E"/>
    <w:rsid w:val="00A644B0"/>
    <w:rsid w:val="00A664B0"/>
    <w:rsid w:val="00A67059"/>
    <w:rsid w:val="00A67851"/>
    <w:rsid w:val="00A71AC8"/>
    <w:rsid w:val="00A7281C"/>
    <w:rsid w:val="00A741AA"/>
    <w:rsid w:val="00A77A36"/>
    <w:rsid w:val="00A77EE7"/>
    <w:rsid w:val="00A84737"/>
    <w:rsid w:val="00A84C49"/>
    <w:rsid w:val="00A91F09"/>
    <w:rsid w:val="00A92437"/>
    <w:rsid w:val="00A93224"/>
    <w:rsid w:val="00A93858"/>
    <w:rsid w:val="00A9434A"/>
    <w:rsid w:val="00A95D9F"/>
    <w:rsid w:val="00AA017D"/>
    <w:rsid w:val="00AA0198"/>
    <w:rsid w:val="00AA28EF"/>
    <w:rsid w:val="00AA29CA"/>
    <w:rsid w:val="00AB0414"/>
    <w:rsid w:val="00AB0705"/>
    <w:rsid w:val="00AB419E"/>
    <w:rsid w:val="00AB4D74"/>
    <w:rsid w:val="00AB56CD"/>
    <w:rsid w:val="00AB59CB"/>
    <w:rsid w:val="00AB7D2C"/>
    <w:rsid w:val="00AC1F74"/>
    <w:rsid w:val="00AC3233"/>
    <w:rsid w:val="00AC5C0D"/>
    <w:rsid w:val="00AC74D3"/>
    <w:rsid w:val="00AD1C1A"/>
    <w:rsid w:val="00AD2DD3"/>
    <w:rsid w:val="00AD5A73"/>
    <w:rsid w:val="00AD6798"/>
    <w:rsid w:val="00AE04E7"/>
    <w:rsid w:val="00AE301D"/>
    <w:rsid w:val="00AE30C0"/>
    <w:rsid w:val="00AE3783"/>
    <w:rsid w:val="00AE3C23"/>
    <w:rsid w:val="00AE494B"/>
    <w:rsid w:val="00AE4D6A"/>
    <w:rsid w:val="00AE5A1D"/>
    <w:rsid w:val="00AF0831"/>
    <w:rsid w:val="00AF1A96"/>
    <w:rsid w:val="00AF35AE"/>
    <w:rsid w:val="00AF754A"/>
    <w:rsid w:val="00AF7702"/>
    <w:rsid w:val="00B07707"/>
    <w:rsid w:val="00B0781F"/>
    <w:rsid w:val="00B12CC1"/>
    <w:rsid w:val="00B14CD3"/>
    <w:rsid w:val="00B17E0A"/>
    <w:rsid w:val="00B17E10"/>
    <w:rsid w:val="00B21DF2"/>
    <w:rsid w:val="00B22AD8"/>
    <w:rsid w:val="00B248FB"/>
    <w:rsid w:val="00B25593"/>
    <w:rsid w:val="00B27F80"/>
    <w:rsid w:val="00B3160F"/>
    <w:rsid w:val="00B32044"/>
    <w:rsid w:val="00B32B63"/>
    <w:rsid w:val="00B330B3"/>
    <w:rsid w:val="00B34AE6"/>
    <w:rsid w:val="00B352EE"/>
    <w:rsid w:val="00B37138"/>
    <w:rsid w:val="00B42DC1"/>
    <w:rsid w:val="00B42FB0"/>
    <w:rsid w:val="00B4393F"/>
    <w:rsid w:val="00B44592"/>
    <w:rsid w:val="00B451E9"/>
    <w:rsid w:val="00B4532F"/>
    <w:rsid w:val="00B4768C"/>
    <w:rsid w:val="00B51211"/>
    <w:rsid w:val="00B52D35"/>
    <w:rsid w:val="00B554B9"/>
    <w:rsid w:val="00B56334"/>
    <w:rsid w:val="00B56724"/>
    <w:rsid w:val="00B57CE0"/>
    <w:rsid w:val="00B61484"/>
    <w:rsid w:val="00B63E29"/>
    <w:rsid w:val="00B67797"/>
    <w:rsid w:val="00B72181"/>
    <w:rsid w:val="00B729C2"/>
    <w:rsid w:val="00B749DF"/>
    <w:rsid w:val="00B75687"/>
    <w:rsid w:val="00B836C8"/>
    <w:rsid w:val="00B858F7"/>
    <w:rsid w:val="00B85EBE"/>
    <w:rsid w:val="00B86CAB"/>
    <w:rsid w:val="00B902FC"/>
    <w:rsid w:val="00B903CB"/>
    <w:rsid w:val="00B920A8"/>
    <w:rsid w:val="00B950BC"/>
    <w:rsid w:val="00B95B7F"/>
    <w:rsid w:val="00B95F80"/>
    <w:rsid w:val="00B96207"/>
    <w:rsid w:val="00B97696"/>
    <w:rsid w:val="00B979F0"/>
    <w:rsid w:val="00BA10AD"/>
    <w:rsid w:val="00BA1A1F"/>
    <w:rsid w:val="00BA4527"/>
    <w:rsid w:val="00BA6987"/>
    <w:rsid w:val="00BB4406"/>
    <w:rsid w:val="00BB64DF"/>
    <w:rsid w:val="00BB6E92"/>
    <w:rsid w:val="00BC07EB"/>
    <w:rsid w:val="00BC2277"/>
    <w:rsid w:val="00BC3A31"/>
    <w:rsid w:val="00BD5198"/>
    <w:rsid w:val="00BE0AF1"/>
    <w:rsid w:val="00BE1C7E"/>
    <w:rsid w:val="00BE4F75"/>
    <w:rsid w:val="00BF0ACE"/>
    <w:rsid w:val="00BF2317"/>
    <w:rsid w:val="00BF3221"/>
    <w:rsid w:val="00BF3307"/>
    <w:rsid w:val="00BF4A9F"/>
    <w:rsid w:val="00BF50B0"/>
    <w:rsid w:val="00BF5BE9"/>
    <w:rsid w:val="00BF700B"/>
    <w:rsid w:val="00C022DD"/>
    <w:rsid w:val="00C052E0"/>
    <w:rsid w:val="00C05E93"/>
    <w:rsid w:val="00C077C3"/>
    <w:rsid w:val="00C13040"/>
    <w:rsid w:val="00C156BA"/>
    <w:rsid w:val="00C16EC7"/>
    <w:rsid w:val="00C1781C"/>
    <w:rsid w:val="00C17C2A"/>
    <w:rsid w:val="00C17CF6"/>
    <w:rsid w:val="00C223A8"/>
    <w:rsid w:val="00C23FEF"/>
    <w:rsid w:val="00C3107F"/>
    <w:rsid w:val="00C3140F"/>
    <w:rsid w:val="00C32645"/>
    <w:rsid w:val="00C32852"/>
    <w:rsid w:val="00C3291A"/>
    <w:rsid w:val="00C350C0"/>
    <w:rsid w:val="00C37957"/>
    <w:rsid w:val="00C40736"/>
    <w:rsid w:val="00C47029"/>
    <w:rsid w:val="00C50DEA"/>
    <w:rsid w:val="00C50FC1"/>
    <w:rsid w:val="00C51F92"/>
    <w:rsid w:val="00C5348C"/>
    <w:rsid w:val="00C552A4"/>
    <w:rsid w:val="00C55C2D"/>
    <w:rsid w:val="00C61C4F"/>
    <w:rsid w:val="00C6417E"/>
    <w:rsid w:val="00C650F9"/>
    <w:rsid w:val="00C66C8D"/>
    <w:rsid w:val="00C70329"/>
    <w:rsid w:val="00C71959"/>
    <w:rsid w:val="00C75A5F"/>
    <w:rsid w:val="00C76F53"/>
    <w:rsid w:val="00C80FF6"/>
    <w:rsid w:val="00C82E81"/>
    <w:rsid w:val="00C8301D"/>
    <w:rsid w:val="00C836F1"/>
    <w:rsid w:val="00C838B2"/>
    <w:rsid w:val="00C8550C"/>
    <w:rsid w:val="00C91306"/>
    <w:rsid w:val="00C9548D"/>
    <w:rsid w:val="00C96EBA"/>
    <w:rsid w:val="00CA3C03"/>
    <w:rsid w:val="00CA400A"/>
    <w:rsid w:val="00CA48A6"/>
    <w:rsid w:val="00CA516A"/>
    <w:rsid w:val="00CA7F71"/>
    <w:rsid w:val="00CB021A"/>
    <w:rsid w:val="00CB0F7F"/>
    <w:rsid w:val="00CB18F3"/>
    <w:rsid w:val="00CB52EF"/>
    <w:rsid w:val="00CC0D13"/>
    <w:rsid w:val="00CC144E"/>
    <w:rsid w:val="00CC149B"/>
    <w:rsid w:val="00CC50A4"/>
    <w:rsid w:val="00CC5799"/>
    <w:rsid w:val="00CC5E50"/>
    <w:rsid w:val="00CC7CDE"/>
    <w:rsid w:val="00CD24A5"/>
    <w:rsid w:val="00CD384E"/>
    <w:rsid w:val="00CD4026"/>
    <w:rsid w:val="00CD45E8"/>
    <w:rsid w:val="00CD6D4E"/>
    <w:rsid w:val="00CD7322"/>
    <w:rsid w:val="00CD7951"/>
    <w:rsid w:val="00CD7ED5"/>
    <w:rsid w:val="00CE0344"/>
    <w:rsid w:val="00CE1CC1"/>
    <w:rsid w:val="00CE380A"/>
    <w:rsid w:val="00CE48E1"/>
    <w:rsid w:val="00CE6C42"/>
    <w:rsid w:val="00CF06AB"/>
    <w:rsid w:val="00CF0C44"/>
    <w:rsid w:val="00CF1D3C"/>
    <w:rsid w:val="00CF22B7"/>
    <w:rsid w:val="00CF479A"/>
    <w:rsid w:val="00CF54AB"/>
    <w:rsid w:val="00D011F9"/>
    <w:rsid w:val="00D0135B"/>
    <w:rsid w:val="00D01724"/>
    <w:rsid w:val="00D0462E"/>
    <w:rsid w:val="00D049EC"/>
    <w:rsid w:val="00D1174B"/>
    <w:rsid w:val="00D1395E"/>
    <w:rsid w:val="00D1415B"/>
    <w:rsid w:val="00D1438B"/>
    <w:rsid w:val="00D15381"/>
    <w:rsid w:val="00D15611"/>
    <w:rsid w:val="00D21AA0"/>
    <w:rsid w:val="00D21EED"/>
    <w:rsid w:val="00D223DB"/>
    <w:rsid w:val="00D25CC1"/>
    <w:rsid w:val="00D26F1B"/>
    <w:rsid w:val="00D2761D"/>
    <w:rsid w:val="00D31CA2"/>
    <w:rsid w:val="00D34CD8"/>
    <w:rsid w:val="00D35C9E"/>
    <w:rsid w:val="00D36E50"/>
    <w:rsid w:val="00D425BA"/>
    <w:rsid w:val="00D43931"/>
    <w:rsid w:val="00D450DC"/>
    <w:rsid w:val="00D475B8"/>
    <w:rsid w:val="00D5268E"/>
    <w:rsid w:val="00D545E7"/>
    <w:rsid w:val="00D56698"/>
    <w:rsid w:val="00D56CDC"/>
    <w:rsid w:val="00D60F7E"/>
    <w:rsid w:val="00D63371"/>
    <w:rsid w:val="00D63C0B"/>
    <w:rsid w:val="00D64046"/>
    <w:rsid w:val="00D64490"/>
    <w:rsid w:val="00D655DB"/>
    <w:rsid w:val="00D70EE4"/>
    <w:rsid w:val="00D718D0"/>
    <w:rsid w:val="00D71E0A"/>
    <w:rsid w:val="00D728C5"/>
    <w:rsid w:val="00D7347B"/>
    <w:rsid w:val="00D74699"/>
    <w:rsid w:val="00D74EAD"/>
    <w:rsid w:val="00D75A61"/>
    <w:rsid w:val="00D837C8"/>
    <w:rsid w:val="00D847DC"/>
    <w:rsid w:val="00D849AF"/>
    <w:rsid w:val="00D84CA3"/>
    <w:rsid w:val="00D90B53"/>
    <w:rsid w:val="00D91662"/>
    <w:rsid w:val="00D91CEF"/>
    <w:rsid w:val="00D92F07"/>
    <w:rsid w:val="00D95F8D"/>
    <w:rsid w:val="00D96E72"/>
    <w:rsid w:val="00DA017B"/>
    <w:rsid w:val="00DA19F0"/>
    <w:rsid w:val="00DA26CC"/>
    <w:rsid w:val="00DA4C25"/>
    <w:rsid w:val="00DB16B7"/>
    <w:rsid w:val="00DB26E2"/>
    <w:rsid w:val="00DB44D2"/>
    <w:rsid w:val="00DB66EB"/>
    <w:rsid w:val="00DB73A2"/>
    <w:rsid w:val="00DC0954"/>
    <w:rsid w:val="00DC27D6"/>
    <w:rsid w:val="00DC3122"/>
    <w:rsid w:val="00DC4CE0"/>
    <w:rsid w:val="00DC69B4"/>
    <w:rsid w:val="00DD04FD"/>
    <w:rsid w:val="00DD2664"/>
    <w:rsid w:val="00DD274B"/>
    <w:rsid w:val="00DE1E70"/>
    <w:rsid w:val="00DE2758"/>
    <w:rsid w:val="00DF0C7E"/>
    <w:rsid w:val="00DF1026"/>
    <w:rsid w:val="00DF1F8B"/>
    <w:rsid w:val="00DF4DC9"/>
    <w:rsid w:val="00E01E81"/>
    <w:rsid w:val="00E0309F"/>
    <w:rsid w:val="00E06262"/>
    <w:rsid w:val="00E062AC"/>
    <w:rsid w:val="00E06823"/>
    <w:rsid w:val="00E10682"/>
    <w:rsid w:val="00E118F3"/>
    <w:rsid w:val="00E12CA4"/>
    <w:rsid w:val="00E12D34"/>
    <w:rsid w:val="00E1497F"/>
    <w:rsid w:val="00E14E9C"/>
    <w:rsid w:val="00E208B0"/>
    <w:rsid w:val="00E240D1"/>
    <w:rsid w:val="00E244A8"/>
    <w:rsid w:val="00E31274"/>
    <w:rsid w:val="00E31A1D"/>
    <w:rsid w:val="00E37002"/>
    <w:rsid w:val="00E41FEC"/>
    <w:rsid w:val="00E438E3"/>
    <w:rsid w:val="00E43F7B"/>
    <w:rsid w:val="00E513BA"/>
    <w:rsid w:val="00E5167F"/>
    <w:rsid w:val="00E51954"/>
    <w:rsid w:val="00E521DC"/>
    <w:rsid w:val="00E5284B"/>
    <w:rsid w:val="00E60556"/>
    <w:rsid w:val="00E61702"/>
    <w:rsid w:val="00E62551"/>
    <w:rsid w:val="00E63D1A"/>
    <w:rsid w:val="00E66F52"/>
    <w:rsid w:val="00E70061"/>
    <w:rsid w:val="00E71609"/>
    <w:rsid w:val="00E73076"/>
    <w:rsid w:val="00E73C84"/>
    <w:rsid w:val="00E75654"/>
    <w:rsid w:val="00E75C20"/>
    <w:rsid w:val="00E76D4D"/>
    <w:rsid w:val="00E81097"/>
    <w:rsid w:val="00E862F1"/>
    <w:rsid w:val="00E877A8"/>
    <w:rsid w:val="00E900CD"/>
    <w:rsid w:val="00E90DBF"/>
    <w:rsid w:val="00E934D4"/>
    <w:rsid w:val="00E961EA"/>
    <w:rsid w:val="00E965EC"/>
    <w:rsid w:val="00E970DB"/>
    <w:rsid w:val="00EA1316"/>
    <w:rsid w:val="00EA22D7"/>
    <w:rsid w:val="00EA3684"/>
    <w:rsid w:val="00EA4443"/>
    <w:rsid w:val="00EA59D1"/>
    <w:rsid w:val="00EA6BC1"/>
    <w:rsid w:val="00EA7A87"/>
    <w:rsid w:val="00EB036E"/>
    <w:rsid w:val="00EB142C"/>
    <w:rsid w:val="00EB4551"/>
    <w:rsid w:val="00EB544A"/>
    <w:rsid w:val="00EB57C3"/>
    <w:rsid w:val="00EB58E9"/>
    <w:rsid w:val="00EB7B30"/>
    <w:rsid w:val="00EC302C"/>
    <w:rsid w:val="00EC4161"/>
    <w:rsid w:val="00EC4BA6"/>
    <w:rsid w:val="00ED1B04"/>
    <w:rsid w:val="00ED3CAA"/>
    <w:rsid w:val="00ED4AEC"/>
    <w:rsid w:val="00ED7C8F"/>
    <w:rsid w:val="00EE0783"/>
    <w:rsid w:val="00EE3B3A"/>
    <w:rsid w:val="00EE6B6A"/>
    <w:rsid w:val="00EF6399"/>
    <w:rsid w:val="00EF7FD2"/>
    <w:rsid w:val="00F00192"/>
    <w:rsid w:val="00F0065A"/>
    <w:rsid w:val="00F008A7"/>
    <w:rsid w:val="00F01621"/>
    <w:rsid w:val="00F04B9C"/>
    <w:rsid w:val="00F075CA"/>
    <w:rsid w:val="00F13411"/>
    <w:rsid w:val="00F21C2F"/>
    <w:rsid w:val="00F21FCD"/>
    <w:rsid w:val="00F24C3C"/>
    <w:rsid w:val="00F264EF"/>
    <w:rsid w:val="00F30E10"/>
    <w:rsid w:val="00F3217A"/>
    <w:rsid w:val="00F32894"/>
    <w:rsid w:val="00F33EE8"/>
    <w:rsid w:val="00F34F0F"/>
    <w:rsid w:val="00F352BF"/>
    <w:rsid w:val="00F357B1"/>
    <w:rsid w:val="00F37D35"/>
    <w:rsid w:val="00F410D9"/>
    <w:rsid w:val="00F4486C"/>
    <w:rsid w:val="00F46C28"/>
    <w:rsid w:val="00F47A37"/>
    <w:rsid w:val="00F47DE1"/>
    <w:rsid w:val="00F51DD3"/>
    <w:rsid w:val="00F51F98"/>
    <w:rsid w:val="00F53677"/>
    <w:rsid w:val="00F578F8"/>
    <w:rsid w:val="00F67634"/>
    <w:rsid w:val="00F67CEA"/>
    <w:rsid w:val="00F67F5C"/>
    <w:rsid w:val="00F67FCA"/>
    <w:rsid w:val="00F7036C"/>
    <w:rsid w:val="00F71633"/>
    <w:rsid w:val="00F73F20"/>
    <w:rsid w:val="00F7461A"/>
    <w:rsid w:val="00F7609E"/>
    <w:rsid w:val="00F835E8"/>
    <w:rsid w:val="00F85997"/>
    <w:rsid w:val="00F869CB"/>
    <w:rsid w:val="00F87EC7"/>
    <w:rsid w:val="00F923A6"/>
    <w:rsid w:val="00F93D55"/>
    <w:rsid w:val="00F94172"/>
    <w:rsid w:val="00FA1643"/>
    <w:rsid w:val="00FA2747"/>
    <w:rsid w:val="00FA3E4C"/>
    <w:rsid w:val="00FA474D"/>
    <w:rsid w:val="00FA61BE"/>
    <w:rsid w:val="00FA6AFA"/>
    <w:rsid w:val="00FB2012"/>
    <w:rsid w:val="00FB254E"/>
    <w:rsid w:val="00FB337E"/>
    <w:rsid w:val="00FB3977"/>
    <w:rsid w:val="00FB4770"/>
    <w:rsid w:val="00FB72B1"/>
    <w:rsid w:val="00FC38B4"/>
    <w:rsid w:val="00FC4CDC"/>
    <w:rsid w:val="00FC5EE4"/>
    <w:rsid w:val="00FD0E55"/>
    <w:rsid w:val="00FD1C46"/>
    <w:rsid w:val="00FD6969"/>
    <w:rsid w:val="00FD6B5C"/>
    <w:rsid w:val="00FE058A"/>
    <w:rsid w:val="00FE1C3E"/>
    <w:rsid w:val="00FE404D"/>
    <w:rsid w:val="00FE5514"/>
    <w:rsid w:val="00FE6863"/>
    <w:rsid w:val="00FE6E5F"/>
    <w:rsid w:val="00FE7169"/>
    <w:rsid w:val="00FE7E68"/>
    <w:rsid w:val="00FF0C77"/>
    <w:rsid w:val="00FF101A"/>
    <w:rsid w:val="00FF359B"/>
    <w:rsid w:val="00FF4F7C"/>
    <w:rsid w:val="00FF504A"/>
    <w:rsid w:val="00FF57FB"/>
    <w:rsid w:val="00FF5E77"/>
    <w:rsid w:val="00FF7648"/>
    <w:rsid w:val="271E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nhideWhenUsed="0" w:uiPriority="0" w:name="header"/>
    <w:lsdException w:qFormat="1" w:unhideWhenUsed="0" w:uiPriority="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480" w:lineRule="atLeast"/>
      <w:outlineLvl w:val="0"/>
    </w:pPr>
    <w:rPr>
      <w:rFonts w:ascii="宋体" w:hAnsi="宋体"/>
      <w:sz w:val="28"/>
    </w:rPr>
  </w:style>
  <w:style w:type="paragraph" w:styleId="3">
    <w:name w:val="heading 2"/>
    <w:basedOn w:val="1"/>
    <w:next w:val="1"/>
    <w:qFormat/>
    <w:uiPriority w:val="0"/>
    <w:pPr>
      <w:keepNext/>
      <w:spacing w:line="480" w:lineRule="atLeast"/>
      <w:ind w:firstLine="200"/>
      <w:outlineLvl w:val="1"/>
    </w:pPr>
    <w:rPr>
      <w:rFonts w:ascii="宋体" w:hAnsi="宋体"/>
      <w:sz w:val="28"/>
    </w:rPr>
  </w:style>
  <w:style w:type="paragraph" w:styleId="4">
    <w:name w:val="heading 3"/>
    <w:basedOn w:val="1"/>
    <w:next w:val="1"/>
    <w:qFormat/>
    <w:uiPriority w:val="0"/>
    <w:pPr>
      <w:keepNext/>
      <w:spacing w:line="100" w:lineRule="atLeast"/>
      <w:ind w:firstLine="880" w:firstLineChars="200"/>
      <w:jc w:val="center"/>
      <w:outlineLvl w:val="2"/>
    </w:pPr>
    <w:rPr>
      <w:rFonts w:ascii="黑体" w:eastAsia="黑体"/>
      <w:sz w:val="44"/>
    </w:rPr>
  </w:style>
  <w:style w:type="paragraph" w:styleId="5">
    <w:name w:val="heading 4"/>
    <w:basedOn w:val="1"/>
    <w:next w:val="1"/>
    <w:qFormat/>
    <w:uiPriority w:val="0"/>
    <w:pPr>
      <w:keepNext/>
      <w:outlineLvl w:val="3"/>
    </w:pPr>
    <w:rPr>
      <w:rFonts w:ascii="Arial" w:hAnsi="Arial" w:cs="Arial"/>
      <w:sz w:val="72"/>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jc w:val="center"/>
    </w:pPr>
    <w:rPr>
      <w:rFonts w:cstheme="majorBidi"/>
      <w:sz w:val="18"/>
      <w:szCs w:val="20"/>
    </w:rPr>
  </w:style>
  <w:style w:type="paragraph" w:styleId="7">
    <w:name w:val="annotation text"/>
    <w:basedOn w:val="1"/>
    <w:link w:val="27"/>
    <w:unhideWhenUsed/>
    <w:qFormat/>
    <w:uiPriority w:val="99"/>
    <w:pPr>
      <w:jc w:val="left"/>
    </w:pPr>
  </w:style>
  <w:style w:type="paragraph" w:styleId="8">
    <w:name w:val="Body Text Indent"/>
    <w:basedOn w:val="1"/>
    <w:link w:val="29"/>
    <w:semiHidden/>
    <w:qFormat/>
    <w:uiPriority w:val="0"/>
    <w:pPr>
      <w:spacing w:line="480" w:lineRule="atLeast"/>
      <w:ind w:firstLine="560" w:firstLineChars="200"/>
    </w:pPr>
    <w:rPr>
      <w:sz w:val="28"/>
    </w:rPr>
  </w:style>
  <w:style w:type="paragraph" w:styleId="9">
    <w:name w:val="Date"/>
    <w:basedOn w:val="1"/>
    <w:next w:val="1"/>
    <w:semiHidden/>
    <w:qFormat/>
    <w:uiPriority w:val="0"/>
    <w:pPr>
      <w:ind w:left="100" w:leftChars="2500"/>
    </w:pPr>
    <w:rPr>
      <w:rFonts w:ascii="宋体" w:hAnsi="宋体"/>
      <w:sz w:val="28"/>
    </w:rPr>
  </w:style>
  <w:style w:type="paragraph" w:styleId="10">
    <w:name w:val="Balloon Text"/>
    <w:basedOn w:val="1"/>
    <w:link w:val="25"/>
    <w:semiHidden/>
    <w:unhideWhenUsed/>
    <w:qFormat/>
    <w:uiPriority w:val="99"/>
    <w:rPr>
      <w:sz w:val="18"/>
      <w:szCs w:val="18"/>
    </w:rPr>
  </w:style>
  <w:style w:type="paragraph" w:styleId="11">
    <w:name w:val="footer"/>
    <w:basedOn w:val="1"/>
    <w:semiHidden/>
    <w:qFormat/>
    <w:uiPriority w:val="0"/>
    <w:pPr>
      <w:tabs>
        <w:tab w:val="center" w:pos="4153"/>
        <w:tab w:val="right" w:pos="8306"/>
      </w:tabs>
      <w:snapToGrid w:val="0"/>
      <w:jc w:val="left"/>
    </w:pPr>
    <w:rPr>
      <w:sz w:val="18"/>
      <w:szCs w:val="18"/>
    </w:rPr>
  </w:style>
  <w:style w:type="paragraph" w:styleId="12">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302"/>
      </w:tabs>
      <w:spacing w:line="480" w:lineRule="exact"/>
    </w:pPr>
    <w:rPr>
      <w:rFonts w:eastAsia="黑体"/>
      <w:kern w:val="0"/>
      <w:sz w:val="24"/>
    </w:rPr>
  </w:style>
  <w:style w:type="paragraph" w:styleId="14">
    <w:name w:val="footnote text"/>
    <w:basedOn w:val="1"/>
    <w:link w:val="35"/>
    <w:semiHidden/>
    <w:unhideWhenUsed/>
    <w:qFormat/>
    <w:uiPriority w:val="99"/>
    <w:pPr>
      <w:snapToGrid w:val="0"/>
      <w:jc w:val="left"/>
    </w:pPr>
    <w:rPr>
      <w:sz w:val="18"/>
      <w:szCs w:val="18"/>
    </w:rPr>
  </w:style>
  <w:style w:type="paragraph" w:styleId="15">
    <w:name w:val="toc 2"/>
    <w:basedOn w:val="1"/>
    <w:next w:val="1"/>
    <w:unhideWhenUsed/>
    <w:qFormat/>
    <w:uiPriority w:val="39"/>
    <w:pPr>
      <w:ind w:left="420" w:leftChars="200"/>
    </w:pPr>
  </w:style>
  <w:style w:type="paragraph" w:styleId="16">
    <w:name w:val="annotation subject"/>
    <w:basedOn w:val="7"/>
    <w:next w:val="7"/>
    <w:link w:val="28"/>
    <w:semiHidden/>
    <w:unhideWhenUsed/>
    <w:qFormat/>
    <w:uiPriority w:val="99"/>
    <w:rPr>
      <w:b/>
      <w:bCs/>
    </w:rPr>
  </w:style>
  <w:style w:type="table" w:styleId="18">
    <w:name w:val="Table Grid"/>
    <w:basedOn w:val="17"/>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Light Shading"/>
    <w:basedOn w:val="17"/>
    <w:qFormat/>
    <w:uiPriority w:val="60"/>
    <w:rPr>
      <w:rFonts w:asciiTheme="minorHAnsi" w:hAnsiTheme="minorHAnsi" w:eastAsiaTheme="minorEastAsia" w:cstheme="minorBidi"/>
      <w:color w:val="000000" w:themeColor="text1" w:themeShade="BF"/>
      <w:kern w:val="2"/>
      <w:sz w:val="21"/>
      <w:szCs w:val="22"/>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21">
    <w:name w:val="page number"/>
    <w:basedOn w:val="20"/>
    <w:semiHidden/>
    <w:qFormat/>
    <w:uiPriority w:val="0"/>
  </w:style>
  <w:style w:type="character" w:styleId="22">
    <w:name w:val="Hyperlink"/>
    <w:qFormat/>
    <w:uiPriority w:val="99"/>
    <w:rPr>
      <w:color w:val="0000FF"/>
      <w:u w:val="single"/>
    </w:rPr>
  </w:style>
  <w:style w:type="character" w:styleId="23">
    <w:name w:val="annotation reference"/>
    <w:semiHidden/>
    <w:unhideWhenUsed/>
    <w:qFormat/>
    <w:uiPriority w:val="99"/>
    <w:rPr>
      <w:sz w:val="21"/>
      <w:szCs w:val="21"/>
    </w:rPr>
  </w:style>
  <w:style w:type="character" w:styleId="24">
    <w:name w:val="footnote reference"/>
    <w:semiHidden/>
    <w:unhideWhenUsed/>
    <w:qFormat/>
    <w:uiPriority w:val="99"/>
    <w:rPr>
      <w:vertAlign w:val="superscript"/>
    </w:rPr>
  </w:style>
  <w:style w:type="character" w:customStyle="1" w:styleId="25">
    <w:name w:val="批注框文本 字符"/>
    <w:link w:val="10"/>
    <w:semiHidden/>
    <w:qFormat/>
    <w:uiPriority w:val="99"/>
    <w:rPr>
      <w:kern w:val="2"/>
      <w:sz w:val="18"/>
      <w:szCs w:val="18"/>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批注文字 字符1"/>
    <w:link w:val="7"/>
    <w:qFormat/>
    <w:uiPriority w:val="99"/>
    <w:rPr>
      <w:kern w:val="2"/>
      <w:sz w:val="21"/>
      <w:szCs w:val="24"/>
    </w:rPr>
  </w:style>
  <w:style w:type="character" w:customStyle="1" w:styleId="28">
    <w:name w:val="批注主题 字符"/>
    <w:link w:val="16"/>
    <w:semiHidden/>
    <w:qFormat/>
    <w:uiPriority w:val="99"/>
    <w:rPr>
      <w:b/>
      <w:bCs/>
      <w:kern w:val="2"/>
      <w:sz w:val="21"/>
      <w:szCs w:val="24"/>
    </w:rPr>
  </w:style>
  <w:style w:type="character" w:customStyle="1" w:styleId="29">
    <w:name w:val="正文文本缩进 字符1"/>
    <w:link w:val="8"/>
    <w:semiHidden/>
    <w:qFormat/>
    <w:uiPriority w:val="0"/>
    <w:rPr>
      <w:kern w:val="2"/>
      <w:sz w:val="28"/>
      <w:szCs w:val="24"/>
    </w:rPr>
  </w:style>
  <w:style w:type="paragraph" w:customStyle="1" w:styleId="30">
    <w:name w:val="标准文件_段"/>
    <w:qFormat/>
    <w:uiPriority w:val="0"/>
    <w:pPr>
      <w:autoSpaceDE w:val="0"/>
      <w:autoSpaceDN w:val="0"/>
      <w:adjustRightInd w:val="0"/>
      <w:snapToGrid w:val="0"/>
      <w:ind w:left="-105" w:leftChars="-50" w:right="-105" w:rightChars="-50" w:firstLine="428" w:firstLineChars="200"/>
      <w:jc w:val="both"/>
    </w:pPr>
    <w:rPr>
      <w:rFonts w:ascii="宋体" w:hAnsi="Times New Roman" w:eastAsia="宋体" w:cs="Times New Roman"/>
      <w:spacing w:val="2"/>
      <w:sz w:val="21"/>
      <w:szCs w:val="24"/>
      <w:lang w:val="en-US" w:eastAsia="zh-CN" w:bidi="ar-SA"/>
    </w:rPr>
  </w:style>
  <w:style w:type="paragraph" w:customStyle="1" w:styleId="3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正文文本缩进 字符"/>
    <w:semiHidden/>
    <w:qFormat/>
    <w:uiPriority w:val="0"/>
    <w:rPr>
      <w:kern w:val="2"/>
      <w:sz w:val="28"/>
      <w:szCs w:val="24"/>
    </w:rPr>
  </w:style>
  <w:style w:type="character" w:customStyle="1" w:styleId="33">
    <w:name w:val="批注文字 字符"/>
    <w:semiHidden/>
    <w:qFormat/>
    <w:uiPriority w:val="99"/>
    <w:rPr>
      <w:kern w:val="2"/>
      <w:sz w:val="21"/>
      <w:szCs w:val="24"/>
    </w:rPr>
  </w:style>
  <w:style w:type="paragraph" w:customStyle="1" w:styleId="34">
    <w:name w:val="TOC Heading"/>
    <w:basedOn w:val="2"/>
    <w:next w:val="1"/>
    <w:unhideWhenUsed/>
    <w:qFormat/>
    <w:uiPriority w:val="39"/>
    <w:pPr>
      <w:keepLines/>
      <w:widowControl/>
      <w:spacing w:before="240" w:line="259" w:lineRule="auto"/>
      <w:jc w:val="left"/>
      <w:outlineLvl w:val="9"/>
    </w:pPr>
    <w:rPr>
      <w:rFonts w:ascii="Calibri Light" w:hAnsi="Calibri Light"/>
      <w:color w:val="2E74B5"/>
      <w:kern w:val="0"/>
      <w:sz w:val="32"/>
      <w:szCs w:val="32"/>
    </w:rPr>
  </w:style>
  <w:style w:type="character" w:customStyle="1" w:styleId="35">
    <w:name w:val="脚注文本 字符"/>
    <w:link w:val="14"/>
    <w:semiHidden/>
    <w:qFormat/>
    <w:uiPriority w:val="99"/>
    <w:rPr>
      <w:kern w:val="2"/>
      <w:sz w:val="18"/>
      <w:szCs w:val="18"/>
    </w:rPr>
  </w:style>
  <w:style w:type="character" w:styleId="36">
    <w:name w:val="Placeholder Text"/>
    <w:basedOn w:val="2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1F3D5-84BF-4243-AE57-CF578BF68037}">
  <ds:schemaRefs/>
</ds:datastoreItem>
</file>

<file path=docProps/app.xml><?xml version="1.0" encoding="utf-8"?>
<Properties xmlns="http://schemas.openxmlformats.org/officeDocument/2006/extended-properties" xmlns:vt="http://schemas.openxmlformats.org/officeDocument/2006/docPropsVTypes">
  <Template>Normal</Template>
  <Company>fzx</Company>
  <Pages>55</Pages>
  <Words>24112</Words>
  <Characters>29535</Characters>
  <Lines>252</Lines>
  <Paragraphs>71</Paragraphs>
  <TotalTime>19</TotalTime>
  <ScaleCrop>false</ScaleCrop>
  <LinksUpToDate>false</LinksUpToDate>
  <CharactersWithSpaces>30852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2022-07-28T11:14:00Z</dcterms:created>
  <dc:creator>Administrator</dc:creator>
  <cp:lastModifiedBy>蕾雷</cp:lastModifiedBy>
  <cp:lastPrinted>2022-08-15T06:19:00Z</cp:lastPrinted>
  <dcterms:modified xsi:type="dcterms:W3CDTF">2022-11-02T03:17:21Z</dcterms:modified>
  <dc:title>中华人民共和国国家标准GB</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-4156167</vt:i4>
  </property>
  <property fmtid="{D5CDD505-2E9C-101B-9397-08002B2CF9AE}" pid="3" name="KSOProductBuildVer">
    <vt:lpwstr>2052-11.1.0.12598</vt:lpwstr>
  </property>
  <property fmtid="{D5CDD505-2E9C-101B-9397-08002B2CF9AE}" pid="4" name="ICV">
    <vt:lpwstr>6A79721916A14AB6A5F551997F48271A</vt:lpwstr>
  </property>
</Properties>
</file>